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FD513" w14:textId="181B218C" w:rsidR="001C1885" w:rsidRPr="00505090" w:rsidRDefault="001C1885" w:rsidP="001C1885">
      <w:pPr>
        <w:spacing w:before="240" w:after="240"/>
        <w:jc w:val="both"/>
        <w:rPr>
          <w:rFonts w:ascii="Times New Roman" w:eastAsia="Times New Roman" w:hAnsi="Times New Roman" w:cs="Times New Roman"/>
          <w:b/>
          <w:sz w:val="24"/>
          <w:szCs w:val="24"/>
          <w:u w:val="single"/>
          <w:lang w:val="et-EE"/>
        </w:rPr>
      </w:pPr>
      <w:r>
        <w:rPr>
          <w:rFonts w:ascii="Times New Roman" w:eastAsia="Times New Roman" w:hAnsi="Times New Roman" w:cs="Times New Roman"/>
          <w:b/>
          <w:sz w:val="24"/>
          <w:szCs w:val="24"/>
          <w:u w:val="single"/>
          <w:lang w:val="et-EE"/>
        </w:rPr>
        <w:t>Väikehanke „</w:t>
      </w:r>
      <w:r w:rsidRPr="00505090">
        <w:rPr>
          <w:rFonts w:ascii="Times New Roman" w:eastAsia="Times New Roman" w:hAnsi="Times New Roman" w:cs="Times New Roman"/>
          <w:b/>
          <w:sz w:val="24"/>
          <w:szCs w:val="24"/>
          <w:u w:val="single"/>
          <w:lang w:val="et-EE"/>
        </w:rPr>
        <w:t>Tarbijakaitse ja Tehnilise Järelevalve Ameti (TTJA) 202</w:t>
      </w:r>
      <w:r>
        <w:rPr>
          <w:rFonts w:ascii="Times New Roman" w:eastAsia="Times New Roman" w:hAnsi="Times New Roman" w:cs="Times New Roman"/>
          <w:b/>
          <w:sz w:val="24"/>
          <w:szCs w:val="24"/>
          <w:u w:val="single"/>
          <w:lang w:val="et-EE"/>
        </w:rPr>
        <w:t>5</w:t>
      </w:r>
      <w:r w:rsidRPr="00505090">
        <w:rPr>
          <w:rFonts w:ascii="Times New Roman" w:eastAsia="Times New Roman" w:hAnsi="Times New Roman" w:cs="Times New Roman"/>
          <w:b/>
          <w:sz w:val="24"/>
          <w:szCs w:val="24"/>
          <w:u w:val="single"/>
          <w:lang w:val="et-EE"/>
        </w:rPr>
        <w:t>. aasta t</w:t>
      </w:r>
      <w:r>
        <w:rPr>
          <w:rFonts w:ascii="Times New Roman" w:eastAsia="Times New Roman" w:hAnsi="Times New Roman" w:cs="Times New Roman"/>
          <w:b/>
          <w:sz w:val="24"/>
          <w:szCs w:val="24"/>
          <w:u w:val="single"/>
          <w:lang w:val="et-EE"/>
        </w:rPr>
        <w:t>arbijahariduse t</w:t>
      </w:r>
      <w:r w:rsidRPr="00505090">
        <w:rPr>
          <w:rFonts w:ascii="Times New Roman" w:eastAsia="Times New Roman" w:hAnsi="Times New Roman" w:cs="Times New Roman"/>
          <w:b/>
          <w:sz w:val="24"/>
          <w:szCs w:val="24"/>
          <w:u w:val="single"/>
          <w:lang w:val="et-EE"/>
        </w:rPr>
        <w:t>eavituskampaania</w:t>
      </w:r>
      <w:r>
        <w:rPr>
          <w:rFonts w:ascii="Times New Roman" w:eastAsia="Times New Roman" w:hAnsi="Times New Roman" w:cs="Times New Roman"/>
          <w:b/>
          <w:sz w:val="24"/>
          <w:szCs w:val="24"/>
          <w:u w:val="single"/>
          <w:lang w:val="et-EE"/>
        </w:rPr>
        <w:t>“</w:t>
      </w:r>
      <w:r w:rsidRPr="00505090">
        <w:rPr>
          <w:rFonts w:ascii="Times New Roman" w:eastAsia="Times New Roman" w:hAnsi="Times New Roman" w:cs="Times New Roman"/>
          <w:b/>
          <w:sz w:val="24"/>
          <w:szCs w:val="24"/>
          <w:u w:val="single"/>
          <w:lang w:val="et-EE"/>
        </w:rPr>
        <w:t xml:space="preserve"> </w:t>
      </w:r>
      <w:r>
        <w:rPr>
          <w:rFonts w:ascii="Times New Roman" w:eastAsia="Times New Roman" w:hAnsi="Times New Roman" w:cs="Times New Roman"/>
          <w:b/>
          <w:sz w:val="24"/>
          <w:szCs w:val="24"/>
          <w:u w:val="single"/>
          <w:lang w:val="et-EE"/>
        </w:rPr>
        <w:t>pakkumuse kutse</w:t>
      </w:r>
      <w:r w:rsidR="00B86662">
        <w:rPr>
          <w:rFonts w:ascii="Times New Roman" w:eastAsia="Times New Roman" w:hAnsi="Times New Roman" w:cs="Times New Roman"/>
          <w:b/>
          <w:sz w:val="24"/>
          <w:szCs w:val="24"/>
          <w:u w:val="single"/>
          <w:lang w:val="et-EE"/>
        </w:rPr>
        <w:t xml:space="preserve"> </w:t>
      </w:r>
    </w:p>
    <w:p w14:paraId="740DDC97" w14:textId="77777777" w:rsidR="001C1885" w:rsidRPr="00505090" w:rsidRDefault="001C1885" w:rsidP="001C1885">
      <w:pPr>
        <w:spacing w:before="240" w:after="240"/>
        <w:jc w:val="both"/>
        <w:rPr>
          <w:rFonts w:ascii="Times New Roman" w:eastAsia="Times New Roman" w:hAnsi="Times New Roman" w:cs="Times New Roman"/>
          <w:bCs/>
          <w:sz w:val="24"/>
          <w:szCs w:val="24"/>
          <w:lang w:val="et-EE"/>
        </w:rPr>
      </w:pPr>
      <w:r w:rsidRPr="00505090">
        <w:rPr>
          <w:rFonts w:ascii="Times New Roman" w:eastAsia="Times New Roman" w:hAnsi="Times New Roman" w:cs="Times New Roman"/>
          <w:b/>
          <w:sz w:val="24"/>
          <w:szCs w:val="24"/>
          <w:lang w:val="et-EE"/>
        </w:rPr>
        <w:t>Töö sisu:</w:t>
      </w:r>
      <w:r w:rsidRPr="00505090">
        <w:rPr>
          <w:rFonts w:ascii="Times New Roman" w:eastAsia="Times New Roman" w:hAnsi="Times New Roman" w:cs="Times New Roman"/>
          <w:bCs/>
          <w:sz w:val="24"/>
          <w:szCs w:val="24"/>
          <w:lang w:val="et-EE"/>
        </w:rPr>
        <w:t xml:space="preserve"> Pakkuja loob ja rakendab meediastrateegia, mis aitab saavutada teavituskampaania</w:t>
      </w:r>
      <w:r>
        <w:rPr>
          <w:rFonts w:ascii="Times New Roman" w:eastAsia="Times New Roman" w:hAnsi="Times New Roman" w:cs="Times New Roman"/>
          <w:bCs/>
          <w:sz w:val="24"/>
          <w:szCs w:val="24"/>
          <w:lang w:val="et-EE"/>
        </w:rPr>
        <w:t xml:space="preserve"> </w:t>
      </w:r>
      <w:r w:rsidRPr="00505090">
        <w:rPr>
          <w:rFonts w:ascii="Times New Roman" w:eastAsia="Times New Roman" w:hAnsi="Times New Roman" w:cs="Times New Roman"/>
          <w:bCs/>
          <w:sz w:val="24"/>
          <w:szCs w:val="24"/>
          <w:lang w:val="et-EE"/>
        </w:rPr>
        <w:t>materjalide levitamisel võimalikult laia katvuse ja nähtavuse sihtrühmas.</w:t>
      </w:r>
    </w:p>
    <w:p w14:paraId="52D490E1" w14:textId="39B6FCA9" w:rsidR="001C1885" w:rsidRPr="00505090" w:rsidRDefault="001C1885" w:rsidP="001C1885">
      <w:pPr>
        <w:spacing w:before="240" w:after="240"/>
        <w:jc w:val="both"/>
        <w:rPr>
          <w:rFonts w:ascii="Times New Roman" w:eastAsia="Times New Roman" w:hAnsi="Times New Roman" w:cs="Times New Roman"/>
          <w:bCs/>
          <w:sz w:val="24"/>
          <w:szCs w:val="24"/>
          <w:lang w:val="et-EE"/>
        </w:rPr>
      </w:pPr>
      <w:r w:rsidRPr="00505090">
        <w:rPr>
          <w:rFonts w:ascii="Times New Roman" w:eastAsia="Times New Roman" w:hAnsi="Times New Roman" w:cs="Times New Roman"/>
          <w:b/>
          <w:sz w:val="24"/>
          <w:szCs w:val="24"/>
          <w:lang w:val="et-EE"/>
        </w:rPr>
        <w:t>Tulemus:</w:t>
      </w:r>
      <w:r w:rsidRPr="00505090">
        <w:rPr>
          <w:rFonts w:ascii="Times New Roman" w:eastAsia="Times New Roman" w:hAnsi="Times New Roman" w:cs="Times New Roman"/>
          <w:bCs/>
          <w:sz w:val="24"/>
          <w:szCs w:val="24"/>
          <w:lang w:val="et-EE"/>
        </w:rPr>
        <w:t xml:space="preserve"> Pakkuja on meediapindade planeerimisel, broneerimisel ja vahendamisel täitnud kampaania</w:t>
      </w:r>
      <w:r>
        <w:rPr>
          <w:rFonts w:ascii="Times New Roman" w:eastAsia="Times New Roman" w:hAnsi="Times New Roman" w:cs="Times New Roman"/>
          <w:bCs/>
          <w:sz w:val="24"/>
          <w:szCs w:val="24"/>
          <w:lang w:val="et-EE"/>
        </w:rPr>
        <w:t xml:space="preserve"> levitamisele</w:t>
      </w:r>
      <w:r w:rsidRPr="00505090">
        <w:rPr>
          <w:rFonts w:ascii="Times New Roman" w:eastAsia="Times New Roman" w:hAnsi="Times New Roman" w:cs="Times New Roman"/>
          <w:bCs/>
          <w:sz w:val="24"/>
          <w:szCs w:val="24"/>
          <w:lang w:val="et-EE"/>
        </w:rPr>
        <w:t xml:space="preserve"> seatud eesmärgid.</w:t>
      </w:r>
    </w:p>
    <w:p w14:paraId="3FC6E3AD" w14:textId="2E1A270D" w:rsidR="001C1885" w:rsidRDefault="001C1885" w:rsidP="001C1885">
      <w:pPr>
        <w:spacing w:before="240" w:after="240"/>
        <w:jc w:val="both"/>
        <w:rPr>
          <w:rFonts w:ascii="Times New Roman" w:eastAsia="Times New Roman" w:hAnsi="Times New Roman" w:cs="Times New Roman"/>
          <w:b/>
          <w:bCs/>
          <w:sz w:val="24"/>
          <w:szCs w:val="24"/>
          <w:lang w:val="et-EE"/>
        </w:rPr>
      </w:pPr>
      <w:r w:rsidRPr="00505090">
        <w:rPr>
          <w:rFonts w:ascii="Times New Roman" w:eastAsia="Times New Roman" w:hAnsi="Times New Roman" w:cs="Times New Roman"/>
          <w:b/>
          <w:sz w:val="24"/>
          <w:szCs w:val="24"/>
          <w:lang w:val="et-EE"/>
        </w:rPr>
        <w:t>Pakkumuse esitamine</w:t>
      </w:r>
      <w:r w:rsidRPr="00505090">
        <w:rPr>
          <w:rFonts w:ascii="Times New Roman" w:eastAsia="Times New Roman" w:hAnsi="Times New Roman" w:cs="Times New Roman"/>
          <w:bCs/>
          <w:sz w:val="24"/>
          <w:szCs w:val="24"/>
          <w:lang w:val="et-EE"/>
        </w:rPr>
        <w:t>: Ootame pakkumuses</w:t>
      </w:r>
      <w:r>
        <w:rPr>
          <w:rFonts w:ascii="Times New Roman" w:eastAsia="Times New Roman" w:hAnsi="Times New Roman" w:cs="Times New Roman"/>
          <w:bCs/>
          <w:sz w:val="24"/>
          <w:szCs w:val="24"/>
          <w:lang w:val="et-EE"/>
        </w:rPr>
        <w:t xml:space="preserve"> kevadise</w:t>
      </w:r>
      <w:r w:rsidRPr="00505090">
        <w:rPr>
          <w:rFonts w:ascii="Times New Roman" w:eastAsia="Times New Roman" w:hAnsi="Times New Roman" w:cs="Times New Roman"/>
          <w:bCs/>
          <w:sz w:val="24"/>
          <w:szCs w:val="24"/>
          <w:lang w:val="et-EE"/>
        </w:rPr>
        <w:t xml:space="preserve"> kampaania</w:t>
      </w:r>
      <w:r w:rsidRPr="00505090">
        <w:rPr>
          <w:rFonts w:ascii="Times New Roman" w:eastAsia="Times New Roman" w:hAnsi="Times New Roman" w:cs="Times New Roman"/>
          <w:sz w:val="24"/>
          <w:szCs w:val="24"/>
          <w:lang w:val="et-EE"/>
        </w:rPr>
        <w:t xml:space="preserve"> meediaplaani koos ajakava, põhjenduste ja selgitustega, miks aitab just tema pakutud meediakanalite ja -pindade valik saavutada maksimaalse tulemuse sihtgrupini jõudmisel olemasoleva eelarve raames.</w:t>
      </w:r>
      <w:r>
        <w:rPr>
          <w:rFonts w:ascii="Times New Roman" w:eastAsia="Times New Roman" w:hAnsi="Times New Roman" w:cs="Times New Roman"/>
          <w:sz w:val="24"/>
          <w:szCs w:val="24"/>
          <w:lang w:val="et-EE"/>
        </w:rPr>
        <w:t xml:space="preserve"> Teavituskampaania raames avaldatavad materjalid annab TTJA üle edukale pakkujale, täpne üleandmise tähtaeg selgub enne lepingu sõlmimist..</w:t>
      </w:r>
      <w:r w:rsidRPr="00505090">
        <w:rPr>
          <w:rFonts w:ascii="Times New Roman" w:eastAsia="Times New Roman" w:hAnsi="Times New Roman" w:cs="Times New Roman"/>
          <w:sz w:val="24"/>
          <w:szCs w:val="24"/>
          <w:lang w:val="et-EE"/>
        </w:rPr>
        <w:t xml:space="preserve"> Pakkumuse esitamise </w:t>
      </w:r>
      <w:r>
        <w:rPr>
          <w:rFonts w:ascii="Times New Roman" w:eastAsia="Times New Roman" w:hAnsi="Times New Roman" w:cs="Times New Roman"/>
          <w:sz w:val="24"/>
          <w:szCs w:val="24"/>
          <w:lang w:val="et-EE"/>
        </w:rPr>
        <w:t xml:space="preserve">tähtaeg on </w:t>
      </w:r>
      <w:r w:rsidR="00A4720D">
        <w:rPr>
          <w:rFonts w:ascii="Times New Roman" w:eastAsia="Times New Roman" w:hAnsi="Times New Roman" w:cs="Times New Roman"/>
          <w:b/>
          <w:bCs/>
          <w:sz w:val="24"/>
          <w:szCs w:val="24"/>
          <w:lang w:val="et-EE"/>
        </w:rPr>
        <w:t>2. mai</w:t>
      </w:r>
      <w:r>
        <w:rPr>
          <w:rFonts w:ascii="Times New Roman" w:eastAsia="Times New Roman" w:hAnsi="Times New Roman" w:cs="Times New Roman"/>
          <w:b/>
          <w:bCs/>
          <w:sz w:val="24"/>
          <w:szCs w:val="24"/>
          <w:lang w:val="et-EE"/>
        </w:rPr>
        <w:t xml:space="preserve"> 2025 kell 23.59</w:t>
      </w:r>
    </w:p>
    <w:p w14:paraId="4C1938D1" w14:textId="77777777" w:rsidR="001C1885" w:rsidRPr="00505090" w:rsidRDefault="001C1885" w:rsidP="001C1885">
      <w:pPr>
        <w:spacing w:before="240" w:after="240"/>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Pakkumusele esitatavad nõuded sisalduvad pakkumuse kutse punktis </w:t>
      </w:r>
      <w:r w:rsidRPr="008461B1">
        <w:rPr>
          <w:rFonts w:ascii="Times New Roman" w:eastAsia="Times New Roman" w:hAnsi="Times New Roman" w:cs="Times New Roman"/>
          <w:sz w:val="24"/>
          <w:szCs w:val="24"/>
          <w:lang w:val="et-EE"/>
        </w:rPr>
        <w:t>7</w:t>
      </w:r>
      <w:r w:rsidRPr="002E67B6">
        <w:rPr>
          <w:rFonts w:ascii="Times New Roman" w:eastAsia="Times New Roman" w:hAnsi="Times New Roman" w:cs="Times New Roman"/>
          <w:sz w:val="24"/>
          <w:szCs w:val="24"/>
          <w:lang w:val="et-EE"/>
        </w:rPr>
        <w:t>.</w:t>
      </w:r>
      <w:r>
        <w:rPr>
          <w:rFonts w:ascii="Times New Roman" w:eastAsia="Times New Roman" w:hAnsi="Times New Roman" w:cs="Times New Roman"/>
          <w:sz w:val="24"/>
          <w:szCs w:val="24"/>
          <w:lang w:val="et-EE"/>
        </w:rPr>
        <w:t xml:space="preserve"> </w:t>
      </w:r>
    </w:p>
    <w:p w14:paraId="7EA58303" w14:textId="77777777" w:rsidR="001C1885" w:rsidRPr="00B328EF" w:rsidRDefault="001C1885" w:rsidP="001C1885">
      <w:pPr>
        <w:pStyle w:val="Loendilik"/>
        <w:numPr>
          <w:ilvl w:val="0"/>
          <w:numId w:val="1"/>
        </w:numPr>
        <w:spacing w:before="240" w:after="240" w:line="240" w:lineRule="auto"/>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sz w:val="24"/>
          <w:szCs w:val="24"/>
          <w:lang w:val="et-EE"/>
        </w:rPr>
        <w:t>Taustainfo</w:t>
      </w:r>
    </w:p>
    <w:p w14:paraId="2EA0092B" w14:textId="77777777" w:rsidR="001C1885" w:rsidRDefault="001C1885" w:rsidP="001C1885">
      <w:pPr>
        <w:pStyle w:val="Loendilik"/>
        <w:spacing w:before="240" w:after="240" w:line="240" w:lineRule="auto"/>
        <w:ind w:left="360"/>
        <w:jc w:val="both"/>
        <w:rPr>
          <w:rFonts w:ascii="Times New Roman" w:eastAsia="Times New Roman" w:hAnsi="Times New Roman" w:cs="Times New Roman"/>
          <w:sz w:val="24"/>
          <w:szCs w:val="24"/>
          <w:lang w:val="et-EE"/>
        </w:rPr>
      </w:pPr>
    </w:p>
    <w:p w14:paraId="4C8C92DB" w14:textId="77777777" w:rsidR="001C1885" w:rsidRPr="00B328EF" w:rsidRDefault="001C1885" w:rsidP="001C1885">
      <w:pPr>
        <w:pStyle w:val="Loendilik"/>
        <w:spacing w:before="240" w:after="240" w:line="240" w:lineRule="auto"/>
        <w:ind w:left="360"/>
        <w:jc w:val="both"/>
        <w:rPr>
          <w:rFonts w:ascii="Times New Roman" w:eastAsia="Times New Roman" w:hAnsi="Times New Roman" w:cs="Times New Roman"/>
          <w:sz w:val="24"/>
          <w:szCs w:val="24"/>
          <w:lang w:val="et-EE"/>
        </w:rPr>
      </w:pPr>
      <w:r w:rsidRPr="00B328EF">
        <w:rPr>
          <w:rFonts w:ascii="Times New Roman" w:eastAsia="Times New Roman" w:hAnsi="Times New Roman" w:cs="Times New Roman"/>
          <w:sz w:val="24"/>
          <w:szCs w:val="24"/>
          <w:lang w:val="et-EE"/>
        </w:rPr>
        <w:t>Tarbijakaitse ja Tehnilise Järelevalve Ameti (edaspidi TTJA) juures tegutseb sõltumatu ning erapooletu tarbijavaidluste komisjon (edaspidi TVK), kuhu inimesed pöörduvad oma õiguste kaitseks. Tarbijavaidluste komisjoni pädevuses on lahendada tarbija ja kaupleja vahelisest lepingust tulenevaid tarbija algatatud tarbijavaidlusi. TVK-sse saavad pöörduda kõik tarbijad, kellel on kaebus Eestis registreeritud kaupleja vastu. TVK otsuseid mittetäitnud ettevõtted kantakse nn „musta nimekirja“, mis on avaldatud TTJA veebilehel.</w:t>
      </w:r>
    </w:p>
    <w:p w14:paraId="47EACC67" w14:textId="77777777" w:rsidR="001C1885" w:rsidRPr="00B328EF" w:rsidRDefault="001C1885" w:rsidP="001C1885">
      <w:pPr>
        <w:pStyle w:val="Loendilik"/>
        <w:spacing w:before="240" w:after="240" w:line="240" w:lineRule="auto"/>
        <w:ind w:left="360"/>
        <w:jc w:val="both"/>
        <w:rPr>
          <w:rFonts w:ascii="Times New Roman" w:eastAsia="Times New Roman" w:hAnsi="Times New Roman" w:cs="Times New Roman"/>
          <w:sz w:val="24"/>
          <w:szCs w:val="24"/>
          <w:lang w:val="et-EE"/>
        </w:rPr>
      </w:pPr>
    </w:p>
    <w:p w14:paraId="15B05407" w14:textId="77777777" w:rsidR="001C1885" w:rsidRPr="00505090" w:rsidRDefault="001C1885" w:rsidP="001C1885">
      <w:pPr>
        <w:pStyle w:val="Loendilik"/>
        <w:numPr>
          <w:ilvl w:val="0"/>
          <w:numId w:val="1"/>
        </w:numPr>
        <w:spacing w:before="240" w:after="240" w:line="240" w:lineRule="auto"/>
        <w:jc w:val="both"/>
        <w:rPr>
          <w:rFonts w:ascii="Times New Roman" w:eastAsia="Times New Roman" w:hAnsi="Times New Roman" w:cs="Times New Roman"/>
          <w:b/>
          <w:bCs/>
          <w:sz w:val="24"/>
          <w:szCs w:val="24"/>
          <w:lang w:val="et-EE"/>
        </w:rPr>
      </w:pPr>
      <w:r w:rsidRPr="00505090">
        <w:rPr>
          <w:rFonts w:ascii="Times New Roman" w:eastAsia="Times New Roman" w:hAnsi="Times New Roman" w:cs="Times New Roman"/>
          <w:b/>
          <w:bCs/>
          <w:sz w:val="24"/>
          <w:szCs w:val="24"/>
          <w:lang w:val="et-EE"/>
        </w:rPr>
        <w:t>Kampaania</w:t>
      </w:r>
      <w:r>
        <w:rPr>
          <w:rFonts w:ascii="Times New Roman" w:eastAsia="Times New Roman" w:hAnsi="Times New Roman" w:cs="Times New Roman"/>
          <w:b/>
          <w:bCs/>
          <w:sz w:val="24"/>
          <w:szCs w:val="24"/>
          <w:lang w:val="et-EE"/>
        </w:rPr>
        <w:t xml:space="preserve"> levitamise</w:t>
      </w:r>
      <w:r w:rsidRPr="00505090">
        <w:rPr>
          <w:rFonts w:ascii="Times New Roman" w:eastAsia="Times New Roman" w:hAnsi="Times New Roman" w:cs="Times New Roman"/>
          <w:b/>
          <w:bCs/>
          <w:sz w:val="24"/>
          <w:szCs w:val="24"/>
          <w:lang w:val="et-EE"/>
        </w:rPr>
        <w:t xml:space="preserve"> eesmärk</w:t>
      </w:r>
    </w:p>
    <w:p w14:paraId="28944465" w14:textId="77777777" w:rsidR="001C1885" w:rsidRPr="00505090" w:rsidRDefault="001C1885" w:rsidP="001C1885">
      <w:pPr>
        <w:spacing w:before="240" w:after="240" w:line="240" w:lineRule="auto"/>
        <w:ind w:left="360"/>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sz w:val="24"/>
          <w:szCs w:val="24"/>
          <w:lang w:val="et-EE"/>
        </w:rPr>
        <w:t>Kampaania</w:t>
      </w:r>
      <w:r>
        <w:rPr>
          <w:rFonts w:ascii="Times New Roman" w:eastAsia="Times New Roman" w:hAnsi="Times New Roman" w:cs="Times New Roman"/>
          <w:sz w:val="24"/>
          <w:szCs w:val="24"/>
          <w:lang w:val="et-EE"/>
        </w:rPr>
        <w:t xml:space="preserve"> levitamise</w:t>
      </w:r>
      <w:r w:rsidRPr="00505090">
        <w:rPr>
          <w:rFonts w:ascii="Times New Roman" w:eastAsia="Times New Roman" w:hAnsi="Times New Roman" w:cs="Times New Roman"/>
          <w:sz w:val="24"/>
          <w:szCs w:val="24"/>
          <w:lang w:val="et-EE"/>
        </w:rPr>
        <w:t xml:space="preserve"> eesmärgiks on saavutada võimalikult lai katvus ja nähtavus sihtrühmas olemasoleva eelarve raames, tõstmaks teadlikkust </w:t>
      </w:r>
      <w:r>
        <w:rPr>
          <w:rFonts w:ascii="Times New Roman" w:eastAsia="Times New Roman" w:hAnsi="Times New Roman" w:cs="Times New Roman"/>
          <w:sz w:val="24"/>
          <w:szCs w:val="24"/>
          <w:lang w:val="et-EE"/>
        </w:rPr>
        <w:t>tarbijate õigustest ja kohustustest lepingu sõlmimisel</w:t>
      </w:r>
      <w:r w:rsidRPr="00505090">
        <w:rPr>
          <w:rFonts w:ascii="Times New Roman" w:eastAsia="Times New Roman" w:hAnsi="Times New Roman" w:cs="Times New Roman"/>
          <w:sz w:val="24"/>
          <w:szCs w:val="24"/>
          <w:lang w:val="et-EE"/>
        </w:rPr>
        <w:t>. Täpsemad lepingu tingimused sisalduvad hankelepingu kavandis (Lisa 1).</w:t>
      </w:r>
    </w:p>
    <w:p w14:paraId="5B10A4D7" w14:textId="77777777" w:rsidR="001C1885" w:rsidRPr="00505090" w:rsidRDefault="001C1885" w:rsidP="001C1885">
      <w:pPr>
        <w:pStyle w:val="Loendilik"/>
        <w:numPr>
          <w:ilvl w:val="0"/>
          <w:numId w:val="1"/>
        </w:numPr>
        <w:spacing w:before="240" w:after="240" w:line="240" w:lineRule="auto"/>
        <w:jc w:val="both"/>
        <w:rPr>
          <w:rFonts w:ascii="Times New Roman" w:eastAsia="Times New Roman" w:hAnsi="Times New Roman" w:cs="Times New Roman"/>
          <w:b/>
          <w:sz w:val="24"/>
          <w:szCs w:val="24"/>
          <w:lang w:val="et-EE"/>
        </w:rPr>
      </w:pPr>
      <w:r w:rsidRPr="00505090">
        <w:rPr>
          <w:rFonts w:ascii="Times New Roman" w:eastAsia="Times New Roman" w:hAnsi="Times New Roman" w:cs="Times New Roman"/>
          <w:b/>
          <w:sz w:val="24"/>
          <w:szCs w:val="24"/>
          <w:lang w:val="et-EE"/>
        </w:rPr>
        <w:t>Kampaania sisu</w:t>
      </w:r>
    </w:p>
    <w:p w14:paraId="2890B741" w14:textId="77777777" w:rsidR="001C1885" w:rsidRDefault="001C1885" w:rsidP="001C1885">
      <w:pPr>
        <w:spacing w:before="240" w:after="240" w:line="240" w:lineRule="auto"/>
        <w:ind w:left="360"/>
        <w:jc w:val="both"/>
        <w:rPr>
          <w:rFonts w:ascii="Times New Roman" w:eastAsia="Times New Roman" w:hAnsi="Times New Roman" w:cs="Times New Roman"/>
          <w:sz w:val="24"/>
          <w:szCs w:val="24"/>
          <w:lang w:val="et-EE"/>
        </w:rPr>
      </w:pPr>
      <w:r w:rsidRPr="00B328EF">
        <w:rPr>
          <w:rFonts w:ascii="Times New Roman" w:eastAsia="Times New Roman" w:hAnsi="Times New Roman" w:cs="Times New Roman"/>
          <w:sz w:val="24"/>
          <w:szCs w:val="24"/>
          <w:lang w:val="et-EE"/>
        </w:rPr>
        <w:t>Kampaania eesmärgiks on tõsta sihtrühma teadlikkust tarbija õigustest</w:t>
      </w:r>
      <w:r>
        <w:rPr>
          <w:rFonts w:ascii="Times New Roman" w:eastAsia="Times New Roman" w:hAnsi="Times New Roman" w:cs="Times New Roman"/>
          <w:sz w:val="24"/>
          <w:szCs w:val="24"/>
          <w:lang w:val="et-EE"/>
        </w:rPr>
        <w:t xml:space="preserve"> </w:t>
      </w:r>
      <w:r w:rsidRPr="00B328EF">
        <w:rPr>
          <w:rFonts w:ascii="Times New Roman" w:eastAsia="Times New Roman" w:hAnsi="Times New Roman" w:cs="Times New Roman"/>
          <w:sz w:val="24"/>
          <w:szCs w:val="24"/>
          <w:lang w:val="et-EE"/>
        </w:rPr>
        <w:t>lepingu sõlmimisel. Lisaks soovime kampaaniaga tähelepanu juhtida ka tarbija kohustustele ning vastutusele valikute langetamisel ja tehingute tegemisel. Samuti teavitada võimalusest lahendada tarbija ja kaupleja vahelisi vaidlusi tarbijavaidluste komisjonis.</w:t>
      </w:r>
    </w:p>
    <w:p w14:paraId="52D308B6" w14:textId="7CDE9B5C" w:rsidR="001C1885" w:rsidRDefault="001C1885" w:rsidP="001C1885">
      <w:pPr>
        <w:spacing w:before="240" w:after="240" w:line="240" w:lineRule="auto"/>
        <w:ind w:left="360"/>
        <w:jc w:val="both"/>
        <w:rPr>
          <w:rFonts w:ascii="Times New Roman" w:hAnsi="Times New Roman" w:cs="Times New Roman"/>
          <w:sz w:val="24"/>
          <w:szCs w:val="24"/>
          <w:lang w:val="et-EE"/>
        </w:rPr>
      </w:pPr>
      <w:r w:rsidRPr="00505090">
        <w:rPr>
          <w:rFonts w:ascii="Times New Roman" w:eastAsia="Times New Roman" w:hAnsi="Times New Roman" w:cs="Times New Roman"/>
          <w:sz w:val="24"/>
          <w:szCs w:val="24"/>
          <w:lang w:val="et-EE"/>
        </w:rPr>
        <w:t xml:space="preserve">Kampaania materjalid </w:t>
      </w:r>
      <w:r>
        <w:rPr>
          <w:rFonts w:ascii="Times New Roman" w:eastAsia="Times New Roman" w:hAnsi="Times New Roman" w:cs="Times New Roman"/>
          <w:sz w:val="24"/>
          <w:szCs w:val="24"/>
          <w:lang w:val="et-EE"/>
        </w:rPr>
        <w:t>loojaks on ettevõte Vaas OÜ</w:t>
      </w:r>
      <w:r w:rsidRPr="00505090">
        <w:rPr>
          <w:rFonts w:ascii="Times New Roman" w:eastAsia="Times New Roman" w:hAnsi="Times New Roman" w:cs="Times New Roman"/>
          <w:sz w:val="24"/>
          <w:szCs w:val="24"/>
          <w:lang w:val="et-EE"/>
        </w:rPr>
        <w:t xml:space="preserve">. </w:t>
      </w:r>
      <w:r>
        <w:rPr>
          <w:rFonts w:ascii="Times New Roman" w:eastAsia="Times New Roman" w:hAnsi="Times New Roman" w:cs="Times New Roman"/>
          <w:sz w:val="24"/>
          <w:szCs w:val="24"/>
          <w:lang w:val="et-EE"/>
        </w:rPr>
        <w:t>K</w:t>
      </w:r>
      <w:r w:rsidRPr="00505090">
        <w:rPr>
          <w:rFonts w:ascii="Times New Roman" w:eastAsia="Times New Roman" w:hAnsi="Times New Roman" w:cs="Times New Roman"/>
          <w:sz w:val="24"/>
          <w:szCs w:val="24"/>
          <w:lang w:val="et-EE"/>
        </w:rPr>
        <w:t xml:space="preserve">ampaaniaga soovime </w:t>
      </w:r>
      <w:r w:rsidRPr="00505090">
        <w:rPr>
          <w:rFonts w:ascii="Times New Roman" w:eastAsia="Times New Roman" w:hAnsi="Times New Roman" w:cs="Times New Roman"/>
          <w:b/>
          <w:bCs/>
          <w:sz w:val="24"/>
          <w:szCs w:val="24"/>
          <w:lang w:val="et-EE"/>
        </w:rPr>
        <w:t>levit</w:t>
      </w:r>
      <w:r>
        <w:rPr>
          <w:rFonts w:ascii="Times New Roman" w:eastAsia="Times New Roman" w:hAnsi="Times New Roman" w:cs="Times New Roman"/>
          <w:b/>
          <w:bCs/>
          <w:sz w:val="24"/>
          <w:szCs w:val="24"/>
          <w:lang w:val="et-EE"/>
        </w:rPr>
        <w:t xml:space="preserve">ada </w:t>
      </w:r>
      <w:r w:rsidRPr="008461B1">
        <w:rPr>
          <w:rFonts w:ascii="Times New Roman" w:eastAsia="Times New Roman" w:hAnsi="Times New Roman" w:cs="Times New Roman"/>
          <w:sz w:val="24"/>
          <w:szCs w:val="24"/>
          <w:lang w:val="et-EE"/>
        </w:rPr>
        <w:t>loovagentuuri poolt loodud videot</w:t>
      </w:r>
      <w:r>
        <w:rPr>
          <w:rFonts w:ascii="Times New Roman" w:eastAsia="Times New Roman" w:hAnsi="Times New Roman" w:cs="Times New Roman"/>
          <w:sz w:val="24"/>
          <w:szCs w:val="24"/>
          <w:lang w:val="et-EE"/>
        </w:rPr>
        <w:t xml:space="preserve">, millele luuakse on erineva pikkusega versioonid. </w:t>
      </w:r>
      <w:r w:rsidRPr="00505090">
        <w:rPr>
          <w:rFonts w:ascii="Times New Roman" w:hAnsi="Times New Roman" w:cs="Times New Roman"/>
          <w:sz w:val="24"/>
          <w:szCs w:val="24"/>
          <w:lang w:val="et-EE"/>
        </w:rPr>
        <w:t xml:space="preserve">Lisaks </w:t>
      </w:r>
      <w:r>
        <w:rPr>
          <w:rFonts w:ascii="Times New Roman" w:hAnsi="Times New Roman" w:cs="Times New Roman"/>
          <w:sz w:val="24"/>
          <w:szCs w:val="24"/>
          <w:lang w:val="et-EE"/>
        </w:rPr>
        <w:t>soovime levitada</w:t>
      </w:r>
      <w:r w:rsidRPr="00505090">
        <w:rPr>
          <w:rFonts w:ascii="Times New Roman" w:hAnsi="Times New Roman" w:cs="Times New Roman"/>
          <w:sz w:val="24"/>
          <w:szCs w:val="24"/>
          <w:lang w:val="et-EE"/>
        </w:rPr>
        <w:t xml:space="preserve"> </w:t>
      </w:r>
      <w:r>
        <w:rPr>
          <w:rFonts w:ascii="Times New Roman" w:hAnsi="Times New Roman" w:cs="Times New Roman"/>
          <w:sz w:val="24"/>
          <w:szCs w:val="24"/>
          <w:lang w:val="et-EE"/>
        </w:rPr>
        <w:t xml:space="preserve">kolme erineva sõnumiga </w:t>
      </w:r>
      <w:r w:rsidRPr="00505090">
        <w:rPr>
          <w:rFonts w:ascii="Times New Roman" w:hAnsi="Times New Roman" w:cs="Times New Roman"/>
          <w:sz w:val="24"/>
          <w:szCs w:val="24"/>
          <w:lang w:val="et-EE"/>
        </w:rPr>
        <w:t>bännereid ja kujundusi ning vajadusel</w:t>
      </w:r>
      <w:r>
        <w:rPr>
          <w:rFonts w:ascii="Times New Roman" w:hAnsi="Times New Roman" w:cs="Times New Roman"/>
          <w:sz w:val="24"/>
          <w:szCs w:val="24"/>
          <w:lang w:val="et-EE"/>
        </w:rPr>
        <w:t xml:space="preserve"> on loovagentuuril</w:t>
      </w:r>
      <w:r w:rsidRPr="00505090">
        <w:rPr>
          <w:rFonts w:ascii="Times New Roman" w:hAnsi="Times New Roman" w:cs="Times New Roman"/>
          <w:sz w:val="24"/>
          <w:szCs w:val="24"/>
          <w:lang w:val="et-EE"/>
        </w:rPr>
        <w:t xml:space="preserve"> valmidus bännereid ja kujundusi juurde toota vastavalt konkreetse meediakanali või -pinna nõuetele.</w:t>
      </w:r>
      <w:r>
        <w:rPr>
          <w:rFonts w:ascii="Times New Roman" w:hAnsi="Times New Roman" w:cs="Times New Roman"/>
          <w:sz w:val="24"/>
          <w:szCs w:val="24"/>
          <w:lang w:val="et-EE"/>
        </w:rPr>
        <w:t xml:space="preserve"> Täpsed materjalid, nende liigid ja video kestvus selguvad hiljemalt </w:t>
      </w:r>
      <w:r w:rsidR="003810D9">
        <w:rPr>
          <w:rFonts w:ascii="Times New Roman" w:hAnsi="Times New Roman" w:cs="Times New Roman"/>
          <w:sz w:val="24"/>
          <w:szCs w:val="24"/>
          <w:lang w:val="et-EE"/>
        </w:rPr>
        <w:t>15.05.2025.</w:t>
      </w:r>
    </w:p>
    <w:p w14:paraId="05020EA1" w14:textId="77777777" w:rsidR="001C1885" w:rsidRPr="00505090" w:rsidRDefault="001C1885" w:rsidP="001C1885">
      <w:pPr>
        <w:spacing w:before="240" w:after="240" w:line="240" w:lineRule="auto"/>
        <w:ind w:left="360"/>
        <w:jc w:val="both"/>
        <w:rPr>
          <w:rFonts w:ascii="Times New Roman" w:eastAsia="Times New Roman" w:hAnsi="Times New Roman" w:cs="Times New Roman"/>
          <w:sz w:val="24"/>
          <w:szCs w:val="24"/>
          <w:lang w:val="et-EE"/>
        </w:rPr>
      </w:pPr>
    </w:p>
    <w:p w14:paraId="3AF7E82B" w14:textId="77777777" w:rsidR="001C1885" w:rsidRPr="00505090" w:rsidRDefault="001C1885" w:rsidP="001C1885">
      <w:pPr>
        <w:pStyle w:val="Loendilik"/>
        <w:numPr>
          <w:ilvl w:val="0"/>
          <w:numId w:val="1"/>
        </w:numPr>
        <w:spacing w:before="240" w:after="240" w:line="240" w:lineRule="auto"/>
        <w:jc w:val="both"/>
        <w:rPr>
          <w:rFonts w:ascii="Times New Roman" w:eastAsia="Times New Roman" w:hAnsi="Times New Roman" w:cs="Times New Roman"/>
          <w:b/>
          <w:sz w:val="24"/>
          <w:szCs w:val="24"/>
          <w:lang w:val="et-EE"/>
        </w:rPr>
      </w:pPr>
      <w:r w:rsidRPr="00505090">
        <w:rPr>
          <w:rFonts w:ascii="Times New Roman" w:eastAsia="Times New Roman" w:hAnsi="Times New Roman" w:cs="Times New Roman"/>
          <w:b/>
          <w:sz w:val="24"/>
          <w:szCs w:val="24"/>
          <w:lang w:val="et-EE"/>
        </w:rPr>
        <w:lastRenderedPageBreak/>
        <w:t>Siht</w:t>
      </w:r>
      <w:r>
        <w:rPr>
          <w:rFonts w:ascii="Times New Roman" w:eastAsia="Times New Roman" w:hAnsi="Times New Roman" w:cs="Times New Roman"/>
          <w:b/>
          <w:sz w:val="24"/>
          <w:szCs w:val="24"/>
          <w:lang w:val="et-EE"/>
        </w:rPr>
        <w:t>rühm</w:t>
      </w:r>
    </w:p>
    <w:p w14:paraId="53927D81" w14:textId="77777777" w:rsidR="001C1885" w:rsidRPr="00950A77" w:rsidRDefault="001C1885" w:rsidP="001C1885">
      <w:pPr>
        <w:pStyle w:val="Loendilik"/>
        <w:numPr>
          <w:ilvl w:val="0"/>
          <w:numId w:val="1"/>
        </w:numPr>
        <w:spacing w:before="240" w:after="240" w:line="240" w:lineRule="auto"/>
        <w:jc w:val="both"/>
        <w:rPr>
          <w:rFonts w:ascii="Times New Roman" w:eastAsia="Times New Roman" w:hAnsi="Times New Roman" w:cs="Times New Roman"/>
          <w:sz w:val="24"/>
          <w:szCs w:val="24"/>
          <w:lang w:val="et-EE"/>
        </w:rPr>
      </w:pPr>
      <w:r w:rsidRPr="00950A77">
        <w:rPr>
          <w:rFonts w:ascii="Times New Roman" w:eastAsia="Times New Roman" w:hAnsi="Times New Roman" w:cs="Times New Roman"/>
          <w:sz w:val="24"/>
          <w:szCs w:val="24"/>
          <w:lang w:val="et-EE"/>
        </w:rPr>
        <w:t xml:space="preserve">Kampaania sihtgrupiks on 20-65 aastased eesti keelt kõnelevad kodanikud. </w:t>
      </w:r>
      <w:r w:rsidRPr="00950A77">
        <w:rPr>
          <w:rFonts w:ascii="Times New Roman" w:eastAsia="Times New Roman" w:hAnsi="Times New Roman" w:cs="Times New Roman"/>
          <w:b/>
          <w:bCs/>
          <w:sz w:val="24"/>
          <w:szCs w:val="24"/>
          <w:lang w:val="et-EE"/>
        </w:rPr>
        <w:t>Kampaania periood</w:t>
      </w:r>
      <w:r w:rsidRPr="00950A77">
        <w:rPr>
          <w:rFonts w:ascii="Times New Roman" w:eastAsia="Times New Roman" w:hAnsi="Times New Roman" w:cs="Times New Roman"/>
          <w:sz w:val="24"/>
          <w:szCs w:val="24"/>
          <w:lang w:val="et-EE"/>
        </w:rPr>
        <w:t>: algusega maikuus, minimaalselt kolm nädalat</w:t>
      </w:r>
      <w:r>
        <w:rPr>
          <w:rFonts w:ascii="Times New Roman" w:eastAsia="Times New Roman" w:hAnsi="Times New Roman" w:cs="Times New Roman"/>
          <w:sz w:val="24"/>
          <w:szCs w:val="24"/>
          <w:lang w:val="et-EE"/>
        </w:rPr>
        <w:t>, maksimaalselt 1 kuu.</w:t>
      </w:r>
    </w:p>
    <w:p w14:paraId="35E5AD6F" w14:textId="77777777" w:rsidR="001C1885" w:rsidRPr="00505090" w:rsidRDefault="001C1885" w:rsidP="001C1885">
      <w:pPr>
        <w:pStyle w:val="Loendilik"/>
        <w:numPr>
          <w:ilvl w:val="0"/>
          <w:numId w:val="1"/>
        </w:numPr>
        <w:spacing w:before="240" w:after="240" w:line="240" w:lineRule="auto"/>
        <w:jc w:val="both"/>
        <w:rPr>
          <w:rFonts w:ascii="Times New Roman" w:eastAsia="Times New Roman" w:hAnsi="Times New Roman" w:cs="Times New Roman"/>
          <w:sz w:val="24"/>
          <w:szCs w:val="24"/>
          <w:lang w:val="et-EE"/>
        </w:rPr>
      </w:pPr>
      <w:r w:rsidRPr="00505090">
        <w:rPr>
          <w:rFonts w:ascii="Times New Roman" w:eastAsia="Times New Roman" w:hAnsi="Times New Roman" w:cs="Times New Roman"/>
          <w:b/>
          <w:bCs/>
          <w:sz w:val="24"/>
          <w:szCs w:val="24"/>
          <w:lang w:val="et-EE"/>
        </w:rPr>
        <w:t>Kampaania eelarve</w:t>
      </w:r>
      <w:r w:rsidRPr="00505090">
        <w:rPr>
          <w:rFonts w:ascii="Times New Roman" w:eastAsia="Times New Roman" w:hAnsi="Times New Roman" w:cs="Times New Roman"/>
          <w:sz w:val="24"/>
          <w:szCs w:val="24"/>
          <w:lang w:val="et-EE"/>
        </w:rPr>
        <w:t xml:space="preserve">: </w:t>
      </w:r>
      <w:r>
        <w:rPr>
          <w:rFonts w:ascii="Times New Roman" w:eastAsia="Times New Roman" w:hAnsi="Times New Roman" w:cs="Times New Roman"/>
          <w:sz w:val="24"/>
          <w:szCs w:val="24"/>
          <w:lang w:val="et-EE"/>
        </w:rPr>
        <w:t>15573.77</w:t>
      </w:r>
      <w:r w:rsidRPr="00505090">
        <w:rPr>
          <w:rFonts w:ascii="Times New Roman" w:eastAsia="Times New Roman" w:hAnsi="Times New Roman" w:cs="Times New Roman"/>
          <w:sz w:val="24"/>
          <w:szCs w:val="24"/>
          <w:lang w:val="et-EE"/>
        </w:rPr>
        <w:t xml:space="preserve"> eurot + km.</w:t>
      </w:r>
    </w:p>
    <w:p w14:paraId="473B408F" w14:textId="77777777" w:rsidR="001C1885" w:rsidRPr="00505090" w:rsidRDefault="001C1885" w:rsidP="001C1885">
      <w:pPr>
        <w:pStyle w:val="Loendilik"/>
        <w:spacing w:before="240" w:after="240" w:line="240" w:lineRule="auto"/>
        <w:jc w:val="both"/>
        <w:rPr>
          <w:rFonts w:ascii="Times New Roman" w:eastAsia="Times New Roman" w:hAnsi="Times New Roman" w:cs="Times New Roman"/>
          <w:sz w:val="24"/>
          <w:szCs w:val="24"/>
          <w:lang w:val="et-EE"/>
        </w:rPr>
      </w:pPr>
    </w:p>
    <w:p w14:paraId="4728817F" w14:textId="77777777" w:rsidR="001C1885" w:rsidRPr="008461B1" w:rsidRDefault="001C1885" w:rsidP="001C1885">
      <w:pPr>
        <w:pStyle w:val="Loendilik"/>
        <w:numPr>
          <w:ilvl w:val="0"/>
          <w:numId w:val="1"/>
        </w:numPr>
        <w:spacing w:before="240" w:after="240" w:line="240" w:lineRule="auto"/>
        <w:jc w:val="both"/>
        <w:rPr>
          <w:rFonts w:ascii="Times New Roman" w:eastAsia="Times New Roman" w:hAnsi="Times New Roman" w:cs="Times New Roman"/>
          <w:b/>
          <w:bCs/>
          <w:sz w:val="24"/>
          <w:szCs w:val="24"/>
          <w:lang w:val="et-EE"/>
        </w:rPr>
      </w:pPr>
      <w:r w:rsidRPr="00505090">
        <w:rPr>
          <w:rFonts w:ascii="Times New Roman" w:eastAsia="Times New Roman" w:hAnsi="Times New Roman" w:cs="Times New Roman"/>
          <w:b/>
          <w:bCs/>
          <w:sz w:val="24"/>
          <w:szCs w:val="24"/>
          <w:lang w:val="et-EE"/>
        </w:rPr>
        <w:t>Pakkumusele esitatavad nõuded ja pakkumuste hindamine</w:t>
      </w:r>
    </w:p>
    <w:p w14:paraId="77FCACEA" w14:textId="77777777" w:rsidR="001C1885" w:rsidRPr="008461B1" w:rsidRDefault="001C1885" w:rsidP="001C1885">
      <w:pPr>
        <w:pStyle w:val="Loendilik"/>
        <w:numPr>
          <w:ilvl w:val="1"/>
          <w:numId w:val="1"/>
        </w:numPr>
        <w:spacing w:before="240" w:after="240" w:line="240" w:lineRule="auto"/>
        <w:jc w:val="both"/>
        <w:rPr>
          <w:rFonts w:ascii="Times New Roman" w:eastAsia="SimSun" w:hAnsi="Times New Roman" w:cs="Times New Roman"/>
          <w:b/>
          <w:bCs/>
          <w:kern w:val="1"/>
          <w:sz w:val="24"/>
          <w:szCs w:val="24"/>
          <w:lang w:val="et-EE" w:eastAsia="zh-CN" w:bidi="hi-IN"/>
        </w:rPr>
      </w:pPr>
      <w:r w:rsidRPr="008461B1">
        <w:rPr>
          <w:rFonts w:ascii="Times New Roman" w:eastAsia="SimSun" w:hAnsi="Times New Roman" w:cs="Times New Roman"/>
          <w:kern w:val="1"/>
          <w:sz w:val="24"/>
          <w:szCs w:val="24"/>
          <w:u w:val="single"/>
          <w:lang w:val="et-EE" w:eastAsia="zh-CN" w:bidi="hi-IN"/>
        </w:rPr>
        <w:t>Nõuded pakkumusele</w:t>
      </w:r>
    </w:p>
    <w:p w14:paraId="33828DA9" w14:textId="77777777" w:rsidR="001C1885" w:rsidRPr="00505090" w:rsidRDefault="001C1885" w:rsidP="001C1885">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Pakkuja </w:t>
      </w:r>
      <w:r>
        <w:rPr>
          <w:rFonts w:ascii="Times New Roman" w:eastAsia="SimSun" w:hAnsi="Times New Roman" w:cs="Times New Roman"/>
          <w:kern w:val="1"/>
          <w:sz w:val="24"/>
          <w:szCs w:val="24"/>
          <w:lang w:val="et-EE" w:eastAsia="zh-CN" w:bidi="hi-IN"/>
        </w:rPr>
        <w:t xml:space="preserve">peab </w:t>
      </w:r>
      <w:r w:rsidRPr="00505090">
        <w:rPr>
          <w:rFonts w:ascii="Times New Roman" w:eastAsia="SimSun" w:hAnsi="Times New Roman" w:cs="Times New Roman"/>
          <w:kern w:val="1"/>
          <w:sz w:val="24"/>
          <w:szCs w:val="24"/>
          <w:lang w:val="et-EE" w:eastAsia="zh-CN" w:bidi="hi-IN"/>
        </w:rPr>
        <w:t>esita</w:t>
      </w:r>
      <w:r>
        <w:rPr>
          <w:rFonts w:ascii="Times New Roman" w:eastAsia="SimSun" w:hAnsi="Times New Roman" w:cs="Times New Roman"/>
          <w:kern w:val="1"/>
          <w:sz w:val="24"/>
          <w:szCs w:val="24"/>
          <w:lang w:val="et-EE" w:eastAsia="zh-CN" w:bidi="hi-IN"/>
        </w:rPr>
        <w:t>ma</w:t>
      </w:r>
      <w:r w:rsidRPr="00505090">
        <w:rPr>
          <w:rFonts w:ascii="Times New Roman" w:eastAsia="SimSun" w:hAnsi="Times New Roman" w:cs="Times New Roman"/>
          <w:kern w:val="1"/>
          <w:sz w:val="24"/>
          <w:szCs w:val="24"/>
          <w:lang w:val="et-EE" w:eastAsia="zh-CN" w:bidi="hi-IN"/>
        </w:rPr>
        <w:t xml:space="preserve"> pakkumuses:</w:t>
      </w:r>
    </w:p>
    <w:p w14:paraId="32816197" w14:textId="77777777" w:rsidR="001C1885" w:rsidRPr="00505090" w:rsidRDefault="001C1885" w:rsidP="001C1885">
      <w:pPr>
        <w:pStyle w:val="Loendilik"/>
        <w:widowControl w:val="0"/>
        <w:numPr>
          <w:ilvl w:val="0"/>
          <w:numId w:val="2"/>
        </w:numPr>
        <w:suppressAutoHyphens/>
        <w:spacing w:line="240" w:lineRule="auto"/>
        <w:jc w:val="both"/>
        <w:rPr>
          <w:rFonts w:ascii="Times New Roman" w:eastAsia="SimSun" w:hAnsi="Times New Roman" w:cs="Times New Roman"/>
          <w:kern w:val="1"/>
          <w:sz w:val="24"/>
          <w:szCs w:val="24"/>
          <w:lang w:val="et-EE" w:eastAsia="zh-CN" w:bidi="hi-IN"/>
        </w:rPr>
      </w:pPr>
      <w:r>
        <w:rPr>
          <w:rFonts w:ascii="Times New Roman" w:eastAsia="SimSun" w:hAnsi="Times New Roman" w:cs="Times New Roman"/>
          <w:kern w:val="1"/>
          <w:sz w:val="24"/>
          <w:szCs w:val="24"/>
          <w:lang w:val="et-EE" w:eastAsia="zh-CN" w:bidi="hi-IN"/>
        </w:rPr>
        <w:t xml:space="preserve">Kampaania levitamise </w:t>
      </w:r>
      <w:r w:rsidRPr="00505090">
        <w:rPr>
          <w:rFonts w:ascii="Times New Roman" w:eastAsia="SimSun" w:hAnsi="Times New Roman" w:cs="Times New Roman"/>
          <w:kern w:val="1"/>
          <w:sz w:val="24"/>
          <w:szCs w:val="24"/>
          <w:lang w:val="et-EE" w:eastAsia="zh-CN" w:bidi="hi-IN"/>
        </w:rPr>
        <w:t xml:space="preserve">ajakava ja kampaania perioodi pikkuse arvestusega, et kampaania </w:t>
      </w:r>
      <w:r>
        <w:rPr>
          <w:rFonts w:ascii="Times New Roman" w:eastAsia="SimSun" w:hAnsi="Times New Roman" w:cs="Times New Roman"/>
          <w:kern w:val="1"/>
          <w:sz w:val="24"/>
          <w:szCs w:val="24"/>
          <w:lang w:val="et-EE" w:eastAsia="zh-CN" w:bidi="hi-IN"/>
        </w:rPr>
        <w:t>algab mais</w:t>
      </w:r>
      <w:r w:rsidRPr="00505090">
        <w:rPr>
          <w:rFonts w:ascii="Times New Roman" w:eastAsia="SimSun" w:hAnsi="Times New Roman" w:cs="Times New Roman"/>
          <w:kern w:val="1"/>
          <w:sz w:val="24"/>
          <w:szCs w:val="24"/>
          <w:lang w:val="et-EE" w:eastAsia="zh-CN" w:bidi="hi-IN"/>
        </w:rPr>
        <w:t xml:space="preserve"> ja kestab vähemalt 3 nädalat;</w:t>
      </w:r>
    </w:p>
    <w:p w14:paraId="2889A57D" w14:textId="77777777" w:rsidR="001C1885" w:rsidRPr="00505090" w:rsidRDefault="001C1885" w:rsidP="001C1885">
      <w:pPr>
        <w:pStyle w:val="Loendilik"/>
        <w:widowControl w:val="0"/>
        <w:numPr>
          <w:ilvl w:val="0"/>
          <w:numId w:val="2"/>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pakkumuse maksumus KM-ta</w:t>
      </w:r>
      <w:r>
        <w:rPr>
          <w:rFonts w:ascii="Times New Roman" w:eastAsia="SimSun" w:hAnsi="Times New Roman" w:cs="Times New Roman"/>
          <w:kern w:val="1"/>
          <w:sz w:val="24"/>
          <w:szCs w:val="24"/>
          <w:lang w:val="et-EE" w:eastAsia="zh-CN" w:bidi="hi-IN"/>
        </w:rPr>
        <w:t xml:space="preserve"> ning pakkumuse maksumus peab sisaldama kõiki lepingu täitmiseks vajalikke kulusid</w:t>
      </w:r>
      <w:r w:rsidRPr="00505090">
        <w:rPr>
          <w:rFonts w:ascii="Times New Roman" w:eastAsia="SimSun" w:hAnsi="Times New Roman" w:cs="Times New Roman"/>
          <w:kern w:val="1"/>
          <w:sz w:val="24"/>
          <w:szCs w:val="24"/>
          <w:lang w:val="et-EE" w:eastAsia="zh-CN" w:bidi="hi-IN"/>
        </w:rPr>
        <w:t>;</w:t>
      </w:r>
    </w:p>
    <w:p w14:paraId="439E78C3" w14:textId="77777777" w:rsidR="001C1885" w:rsidRPr="00505090" w:rsidRDefault="001C1885" w:rsidP="001C1885">
      <w:pPr>
        <w:pStyle w:val="Loendilik"/>
        <w:widowControl w:val="0"/>
        <w:numPr>
          <w:ilvl w:val="0"/>
          <w:numId w:val="2"/>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kasutatavad mõõdikud ja metoodika</w:t>
      </w:r>
      <w:r>
        <w:rPr>
          <w:rFonts w:ascii="Times New Roman" w:eastAsia="SimSun" w:hAnsi="Times New Roman" w:cs="Times New Roman"/>
          <w:kern w:val="1"/>
          <w:sz w:val="24"/>
          <w:szCs w:val="24"/>
          <w:lang w:val="et-EE" w:eastAsia="zh-CN" w:bidi="hi-IN"/>
        </w:rPr>
        <w:t xml:space="preserve"> meediastrateegia t</w:t>
      </w:r>
      <w:r w:rsidRPr="00505090">
        <w:rPr>
          <w:rFonts w:ascii="Times New Roman" w:eastAsia="SimSun" w:hAnsi="Times New Roman" w:cs="Times New Roman"/>
          <w:kern w:val="1"/>
          <w:sz w:val="24"/>
          <w:szCs w:val="24"/>
          <w:lang w:val="et-EE" w:eastAsia="zh-CN" w:bidi="hi-IN"/>
        </w:rPr>
        <w:t>ulemuste hindamiseks koos põhjendustega;</w:t>
      </w:r>
    </w:p>
    <w:p w14:paraId="318BAE34" w14:textId="77777777" w:rsidR="001C1885" w:rsidRPr="00505090" w:rsidRDefault="001C1885" w:rsidP="001C1885">
      <w:pPr>
        <w:pStyle w:val="Loendilik"/>
        <w:widowControl w:val="0"/>
        <w:numPr>
          <w:ilvl w:val="0"/>
          <w:numId w:val="2"/>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kampaania „</w:t>
      </w:r>
      <w:r>
        <w:rPr>
          <w:rFonts w:ascii="Times New Roman" w:eastAsia="SimSun" w:hAnsi="Times New Roman" w:cs="Times New Roman"/>
          <w:kern w:val="1"/>
          <w:sz w:val="24"/>
          <w:szCs w:val="24"/>
          <w:lang w:val="et-EE" w:eastAsia="zh-CN" w:bidi="hi-IN"/>
        </w:rPr>
        <w:t>Märka tingimusi, väldi lõksu</w:t>
      </w:r>
      <w:r w:rsidRPr="00505090">
        <w:rPr>
          <w:rFonts w:ascii="Times New Roman" w:eastAsia="SimSun" w:hAnsi="Times New Roman" w:cs="Times New Roman"/>
          <w:kern w:val="1"/>
          <w:sz w:val="24"/>
          <w:szCs w:val="24"/>
          <w:lang w:val="et-EE" w:eastAsia="zh-CN" w:bidi="hi-IN"/>
        </w:rPr>
        <w:t xml:space="preserve">!“ </w:t>
      </w:r>
      <w:r>
        <w:rPr>
          <w:rFonts w:ascii="Times New Roman" w:eastAsia="SimSun" w:hAnsi="Times New Roman" w:cs="Times New Roman"/>
          <w:kern w:val="1"/>
          <w:sz w:val="24"/>
          <w:szCs w:val="24"/>
          <w:lang w:val="et-EE" w:eastAsia="zh-CN" w:bidi="hi-IN"/>
        </w:rPr>
        <w:t xml:space="preserve">meediastrateegia </w:t>
      </w:r>
      <w:r w:rsidRPr="00505090">
        <w:rPr>
          <w:rFonts w:ascii="Times New Roman" w:eastAsia="SimSun" w:hAnsi="Times New Roman" w:cs="Times New Roman"/>
          <w:kern w:val="1"/>
          <w:sz w:val="24"/>
          <w:szCs w:val="24"/>
          <w:lang w:val="et-EE" w:eastAsia="zh-CN" w:bidi="hi-IN"/>
        </w:rPr>
        <w:t>, mis sisaldab:</w:t>
      </w:r>
    </w:p>
    <w:p w14:paraId="56A6C0CE" w14:textId="77777777" w:rsidR="001C1885" w:rsidRPr="00505090" w:rsidRDefault="001C1885" w:rsidP="001C1885">
      <w:pPr>
        <w:pStyle w:val="Loendilik"/>
        <w:widowControl w:val="0"/>
        <w:numPr>
          <w:ilvl w:val="1"/>
          <w:numId w:val="2"/>
        </w:numPr>
        <w:suppressAutoHyphens/>
        <w:spacing w:line="240" w:lineRule="auto"/>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meediapindade ja -kanalite valikut koos strateegilise põhjendatusega, miks ja millise eesmärgiga erinevaid meediakanaleid kasutatakse, koos eeldatavate tulemustega (vastavalt kanalile katvus/nähtavus/näitamised/vaadatavus/klikid) ning kirjeldust, </w:t>
      </w:r>
      <w:r w:rsidRPr="00505090">
        <w:rPr>
          <w:rFonts w:ascii="Times New Roman" w:eastAsia="Times New Roman" w:hAnsi="Times New Roman" w:cs="Times New Roman"/>
          <w:color w:val="0D0D0D"/>
          <w:sz w:val="24"/>
          <w:szCs w:val="24"/>
          <w:shd w:val="clear" w:color="auto" w:fill="FFFFFF"/>
          <w:lang w:val="et-EE"/>
        </w:rPr>
        <w:t>millist tüüpi sisu (pilt, bänner, video jmt) ning millises formaadis/vormingus kasutatakse</w:t>
      </w:r>
      <w:r w:rsidRPr="00505090">
        <w:rPr>
          <w:rFonts w:ascii="Times New Roman" w:eastAsia="SimSun" w:hAnsi="Times New Roman" w:cs="Times New Roman"/>
          <w:kern w:val="1"/>
          <w:sz w:val="24"/>
          <w:szCs w:val="24"/>
          <w:lang w:val="et-EE" w:eastAsia="zh-CN" w:bidi="hi-IN"/>
        </w:rPr>
        <w:t xml:space="preserve"> ja </w:t>
      </w:r>
      <w:r w:rsidRPr="00505090">
        <w:rPr>
          <w:rFonts w:ascii="Times New Roman" w:eastAsia="Times New Roman" w:hAnsi="Times New Roman" w:cs="Times New Roman"/>
          <w:color w:val="0D0D0D"/>
          <w:sz w:val="24"/>
          <w:szCs w:val="24"/>
          <w:shd w:val="clear" w:color="auto" w:fill="FFFFFF"/>
          <w:lang w:val="et-EE"/>
        </w:rPr>
        <w:t>kuidas läbi esitatud kanalite valiku maksimaalselt sihtgrupini jõutakse</w:t>
      </w:r>
      <w:r>
        <w:rPr>
          <w:rFonts w:ascii="Times New Roman" w:eastAsia="Times New Roman" w:hAnsi="Times New Roman" w:cs="Times New Roman"/>
          <w:color w:val="0D0D0D"/>
          <w:sz w:val="24"/>
          <w:szCs w:val="24"/>
          <w:shd w:val="clear" w:color="auto" w:fill="FFFFFF"/>
          <w:lang w:val="et-EE"/>
        </w:rPr>
        <w:t>.</w:t>
      </w:r>
    </w:p>
    <w:p w14:paraId="563F765A" w14:textId="77777777" w:rsidR="001C1885" w:rsidRPr="00505090" w:rsidRDefault="001C1885" w:rsidP="001C1885">
      <w:pPr>
        <w:spacing w:before="240" w:after="240"/>
        <w:jc w:val="both"/>
        <w:rPr>
          <w:rFonts w:ascii="Times New Roman" w:hAnsi="Times New Roman" w:cs="Times New Roman"/>
          <w:sz w:val="24"/>
          <w:szCs w:val="24"/>
          <w:lang w:val="et-EE"/>
        </w:rPr>
      </w:pPr>
      <w:r>
        <w:rPr>
          <w:rFonts w:ascii="Times New Roman" w:hAnsi="Times New Roman" w:cs="Times New Roman"/>
          <w:sz w:val="24"/>
          <w:szCs w:val="24"/>
          <w:lang w:val="et-EE"/>
        </w:rPr>
        <w:t>M</w:t>
      </w:r>
      <w:r w:rsidRPr="00505090">
        <w:rPr>
          <w:rFonts w:ascii="Times New Roman" w:hAnsi="Times New Roman" w:cs="Times New Roman"/>
          <w:sz w:val="24"/>
          <w:szCs w:val="24"/>
          <w:lang w:val="et-EE"/>
        </w:rPr>
        <w:t>eediaagentuur võib ka ise</w:t>
      </w:r>
      <w:r>
        <w:rPr>
          <w:rFonts w:ascii="Times New Roman" w:hAnsi="Times New Roman" w:cs="Times New Roman"/>
          <w:sz w:val="24"/>
          <w:szCs w:val="24"/>
          <w:lang w:val="et-EE"/>
        </w:rPr>
        <w:t xml:space="preserve"> märkida pakkumuses tema hinnangul sobivaimad pinnad</w:t>
      </w:r>
      <w:r w:rsidRPr="00505090">
        <w:rPr>
          <w:rFonts w:ascii="Times New Roman" w:hAnsi="Times New Roman" w:cs="Times New Roman"/>
          <w:sz w:val="24"/>
          <w:szCs w:val="24"/>
          <w:lang w:val="et-EE"/>
        </w:rPr>
        <w:t>. Meediapinnad võivad endas hõlmata mh reklaame kinodes, kaubanduskeskustes, aga ka välireklaame, kui sellised lahendused on põhjendatud ning aitavad saavutada võimalikult suurt katvust sihtgrupi seas.</w:t>
      </w:r>
    </w:p>
    <w:p w14:paraId="5BAC3A87" w14:textId="77777777" w:rsidR="001C1885" w:rsidRPr="00505090" w:rsidRDefault="001C1885" w:rsidP="001C1885">
      <w:pPr>
        <w:spacing w:before="240" w:after="240"/>
        <w:jc w:val="both"/>
        <w:rPr>
          <w:rFonts w:ascii="Times New Roman" w:eastAsia="SimSun" w:hAnsi="Times New Roman" w:cs="Times New Roman"/>
          <w:kern w:val="1"/>
          <w:sz w:val="24"/>
          <w:szCs w:val="24"/>
          <w:lang w:val="et-EE" w:eastAsia="zh-CN" w:bidi="hi-IN"/>
        </w:rPr>
      </w:pPr>
      <w:r w:rsidRPr="00505090">
        <w:rPr>
          <w:rFonts w:ascii="Times New Roman" w:hAnsi="Times New Roman" w:cs="Times New Roman"/>
          <w:sz w:val="24"/>
          <w:szCs w:val="24"/>
          <w:lang w:val="et-EE"/>
        </w:rPr>
        <w:t>Meediapindade ja kanalite valiku tegemisel tuleb arvestada, et kampaaniat ei tohi levitada meediapindadel või kanalites, mis edastavad Venemaa Föderatsiooni või muu agressorriigi propagandat või on oma olemuselt muud veebilehed, mille sisuline eesmärk on õhutada sõjalist tegevust ja agressiooni.</w:t>
      </w:r>
    </w:p>
    <w:p w14:paraId="794E3318" w14:textId="77777777" w:rsidR="001C1885" w:rsidRPr="008461B1" w:rsidRDefault="001C1885" w:rsidP="001C1885">
      <w:pPr>
        <w:pStyle w:val="Loendilik"/>
        <w:widowControl w:val="0"/>
        <w:numPr>
          <w:ilvl w:val="1"/>
          <w:numId w:val="1"/>
        </w:numPr>
        <w:suppressAutoHyphens/>
        <w:spacing w:after="160" w:line="240" w:lineRule="auto"/>
        <w:jc w:val="both"/>
        <w:rPr>
          <w:rFonts w:ascii="Times New Roman" w:eastAsia="SimSun" w:hAnsi="Times New Roman" w:cs="Times New Roman"/>
          <w:kern w:val="1"/>
          <w:sz w:val="24"/>
          <w:szCs w:val="24"/>
          <w:u w:val="single"/>
          <w:lang w:val="et-EE" w:eastAsia="zh-CN" w:bidi="hi-IN"/>
        </w:rPr>
      </w:pPr>
      <w:r w:rsidRPr="008461B1">
        <w:rPr>
          <w:rFonts w:ascii="Times New Roman" w:eastAsia="SimSun" w:hAnsi="Times New Roman" w:cs="Times New Roman"/>
          <w:kern w:val="1"/>
          <w:sz w:val="24"/>
          <w:szCs w:val="24"/>
          <w:u w:val="single"/>
          <w:lang w:val="et-EE" w:eastAsia="zh-CN" w:bidi="hi-IN"/>
        </w:rPr>
        <w:t>Pakkumuse esitamine</w:t>
      </w:r>
    </w:p>
    <w:p w14:paraId="480B08B1" w14:textId="77777777" w:rsidR="001C1885"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 xml:space="preserve">Hankija aktsepteerib elektrooniliselt esitatavate pakkumuse dokumentide osas kõiki üldlevinud dokumendi formaate, nagu .pdf (Portable Document Format), .rtf (RichTextFormat), .odt (Open Office) ning ka MS Office formaate. </w:t>
      </w:r>
    </w:p>
    <w:p w14:paraId="6A595A92" w14:textId="77777777" w:rsidR="001C1885" w:rsidRPr="008461B1"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Pakkuja kannab kõik pakkumuse ettevalmistamisega ning esitamisega seotud kulud.</w:t>
      </w:r>
    </w:p>
    <w:p w14:paraId="00F47EF1" w14:textId="77777777" w:rsidR="001C1885" w:rsidRPr="008461B1"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Hankija koostab pakkumuste hindamise kohta protokolli.</w:t>
      </w:r>
    </w:p>
    <w:p w14:paraId="3EB6863E" w14:textId="77777777" w:rsidR="001C1885"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Hankija ei rakenda hankelepingu sõlmimisel ooteaega.</w:t>
      </w:r>
    </w:p>
    <w:p w14:paraId="7B48D62F" w14:textId="66FC3A6F" w:rsidR="001C1885" w:rsidRPr="008461B1"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 xml:space="preserve">Pakkumuste esitamise tähtaeg on </w:t>
      </w:r>
      <w:r w:rsidR="00494078">
        <w:rPr>
          <w:rFonts w:ascii="Times New Roman" w:eastAsia="SimSun" w:hAnsi="Times New Roman" w:cs="Times New Roman"/>
          <w:b/>
          <w:bCs/>
          <w:kern w:val="1"/>
          <w:sz w:val="24"/>
          <w:szCs w:val="24"/>
          <w:lang w:val="et-EE" w:eastAsia="zh-CN" w:bidi="hi-IN"/>
        </w:rPr>
        <w:t>2</w:t>
      </w:r>
      <w:r>
        <w:rPr>
          <w:rFonts w:ascii="Times New Roman" w:eastAsia="SimSun" w:hAnsi="Times New Roman" w:cs="Times New Roman"/>
          <w:b/>
          <w:bCs/>
          <w:kern w:val="1"/>
          <w:sz w:val="24"/>
          <w:szCs w:val="24"/>
          <w:lang w:val="et-EE" w:eastAsia="zh-CN" w:bidi="hi-IN"/>
        </w:rPr>
        <w:t xml:space="preserve">. </w:t>
      </w:r>
      <w:r w:rsidR="00F66059">
        <w:rPr>
          <w:rFonts w:ascii="Times New Roman" w:eastAsia="SimSun" w:hAnsi="Times New Roman" w:cs="Times New Roman"/>
          <w:b/>
          <w:bCs/>
          <w:kern w:val="1"/>
          <w:sz w:val="24"/>
          <w:szCs w:val="24"/>
          <w:lang w:val="et-EE" w:eastAsia="zh-CN" w:bidi="hi-IN"/>
        </w:rPr>
        <w:t>mai</w:t>
      </w:r>
      <w:r>
        <w:rPr>
          <w:rFonts w:ascii="Times New Roman" w:eastAsia="SimSun" w:hAnsi="Times New Roman" w:cs="Times New Roman"/>
          <w:b/>
          <w:bCs/>
          <w:kern w:val="1"/>
          <w:sz w:val="24"/>
          <w:szCs w:val="24"/>
          <w:lang w:val="et-EE" w:eastAsia="zh-CN" w:bidi="hi-IN"/>
        </w:rPr>
        <w:t xml:space="preserve"> kell 23.59 </w:t>
      </w:r>
      <w:r w:rsidRPr="008461B1">
        <w:rPr>
          <w:rFonts w:ascii="Times New Roman" w:eastAsia="SimSun" w:hAnsi="Times New Roman" w:cs="Times New Roman"/>
          <w:kern w:val="1"/>
          <w:sz w:val="24"/>
          <w:szCs w:val="24"/>
          <w:lang w:val="et-EE" w:eastAsia="zh-CN" w:bidi="hi-IN"/>
        </w:rPr>
        <w:t>Pakkumused esitatakse e-posti aadressi</w:t>
      </w:r>
      <w:r>
        <w:rPr>
          <w:rFonts w:ascii="Times New Roman" w:eastAsia="SimSun" w:hAnsi="Times New Roman" w:cs="Times New Roman"/>
          <w:kern w:val="1"/>
          <w:sz w:val="24"/>
          <w:szCs w:val="24"/>
          <w:lang w:val="et-EE" w:eastAsia="zh-CN" w:bidi="hi-IN"/>
        </w:rPr>
        <w:t xml:space="preserve">l </w:t>
      </w:r>
      <w:r w:rsidRPr="008461B1">
        <w:rPr>
          <w:rFonts w:ascii="Times New Roman" w:eastAsia="SimSun" w:hAnsi="Times New Roman" w:cs="Times New Roman"/>
          <w:kern w:val="1"/>
          <w:sz w:val="24"/>
          <w:szCs w:val="24"/>
          <w:lang w:val="et-EE" w:eastAsia="zh-CN" w:bidi="hi-IN"/>
        </w:rPr>
        <w:t>britt-heleen.kandimaa@ttja.ee</w:t>
      </w:r>
      <w:r>
        <w:rPr>
          <w:rFonts w:ascii="Times New Roman" w:eastAsia="SimSun" w:hAnsi="Times New Roman" w:cs="Times New Roman"/>
          <w:kern w:val="1"/>
          <w:sz w:val="24"/>
          <w:szCs w:val="24"/>
          <w:lang w:val="et-EE" w:eastAsia="zh-CN" w:bidi="hi-IN"/>
        </w:rPr>
        <w:t>.</w:t>
      </w:r>
    </w:p>
    <w:p w14:paraId="344DB054" w14:textId="77777777" w:rsidR="001C1885" w:rsidRPr="008461B1"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kern w:val="1"/>
          <w:sz w:val="24"/>
          <w:szCs w:val="24"/>
          <w:lang w:val="et-EE" w:eastAsia="zh-CN" w:bidi="hi-IN"/>
        </w:rPr>
      </w:pPr>
      <w:r w:rsidRPr="008461B1">
        <w:rPr>
          <w:rFonts w:ascii="Times New Roman" w:eastAsia="SimSun" w:hAnsi="Times New Roman" w:cs="Times New Roman"/>
          <w:kern w:val="1"/>
          <w:sz w:val="24"/>
          <w:szCs w:val="24"/>
          <w:lang w:val="et-EE" w:eastAsia="zh-CN" w:bidi="hi-IN"/>
        </w:rPr>
        <w:t>Eelkirjeldatud nõuetele mittevastavaid, sh hilinenult esitatud pakkumusi arvesse ei võeta.</w:t>
      </w:r>
    </w:p>
    <w:p w14:paraId="237245AF" w14:textId="77777777" w:rsidR="001C1885" w:rsidRPr="00505090" w:rsidRDefault="001C1885" w:rsidP="001C1885">
      <w:pPr>
        <w:widowControl w:val="0"/>
        <w:suppressAutoHyphens/>
        <w:spacing w:line="240" w:lineRule="auto"/>
        <w:jc w:val="both"/>
        <w:rPr>
          <w:rFonts w:ascii="Times New Roman" w:eastAsia="SimSun" w:hAnsi="Times New Roman" w:cs="Times New Roman"/>
          <w:kern w:val="1"/>
          <w:sz w:val="24"/>
          <w:szCs w:val="24"/>
          <w:lang w:val="et-EE" w:eastAsia="zh-CN" w:bidi="hi-IN"/>
        </w:rPr>
      </w:pPr>
    </w:p>
    <w:p w14:paraId="71E802C5" w14:textId="77777777" w:rsidR="001C1885" w:rsidRPr="008461B1" w:rsidRDefault="001C1885" w:rsidP="001C1885">
      <w:pPr>
        <w:pStyle w:val="Loendilik"/>
        <w:widowControl w:val="0"/>
        <w:numPr>
          <w:ilvl w:val="1"/>
          <w:numId w:val="1"/>
        </w:numPr>
        <w:suppressAutoHyphens/>
        <w:spacing w:after="160" w:line="240" w:lineRule="auto"/>
        <w:jc w:val="both"/>
        <w:rPr>
          <w:rFonts w:ascii="Times New Roman" w:eastAsia="SimSun" w:hAnsi="Times New Roman" w:cs="Times New Roman"/>
          <w:b/>
          <w:bCs/>
          <w:kern w:val="1"/>
          <w:sz w:val="24"/>
          <w:szCs w:val="24"/>
          <w:lang w:val="et-EE" w:eastAsia="zh-CN" w:bidi="hi-IN"/>
        </w:rPr>
      </w:pPr>
      <w:r w:rsidRPr="008461B1">
        <w:rPr>
          <w:rFonts w:ascii="Times New Roman" w:eastAsia="SimSun" w:hAnsi="Times New Roman" w:cs="Times New Roman"/>
          <w:kern w:val="1"/>
          <w:sz w:val="24"/>
          <w:szCs w:val="24"/>
          <w:u w:val="single"/>
          <w:lang w:val="et-EE" w:eastAsia="zh-CN" w:bidi="hi-IN"/>
        </w:rPr>
        <w:t>Pakkumuste hindamine</w:t>
      </w:r>
    </w:p>
    <w:p w14:paraId="6CBF223F" w14:textId="77777777" w:rsidR="001C1885" w:rsidRPr="00505090" w:rsidRDefault="001C1885" w:rsidP="001C1885">
      <w:pPr>
        <w:spacing w:after="160" w:line="240" w:lineRule="auto"/>
        <w:ind w:left="36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lastRenderedPageBreak/>
        <w:t xml:space="preserve">Pakkumusi hinnatakse vastavalt järgmistele hindamiskriteeriumidele: </w:t>
      </w:r>
      <w:r w:rsidRPr="00505090">
        <w:rPr>
          <w:rFonts w:ascii="Times New Roman" w:eastAsia="SimSun" w:hAnsi="Times New Roman" w:cs="Times New Roman"/>
          <w:b/>
          <w:bCs/>
          <w:kern w:val="1"/>
          <w:sz w:val="24"/>
          <w:szCs w:val="24"/>
          <w:lang w:val="et-EE" w:eastAsia="zh-CN" w:bidi="hi-IN"/>
        </w:rPr>
        <w:t>pakkumuse kogumaksumus (10%)</w:t>
      </w:r>
      <w:r w:rsidRPr="00505090">
        <w:rPr>
          <w:rFonts w:ascii="Times New Roman" w:eastAsia="SimSun" w:hAnsi="Times New Roman" w:cs="Times New Roman"/>
          <w:kern w:val="1"/>
          <w:sz w:val="24"/>
          <w:szCs w:val="24"/>
          <w:lang w:val="et-EE" w:eastAsia="zh-CN" w:bidi="hi-IN"/>
        </w:rPr>
        <w:t xml:space="preserve"> ja </w:t>
      </w:r>
      <w:r>
        <w:rPr>
          <w:rFonts w:ascii="Times New Roman" w:eastAsia="SimSun" w:hAnsi="Times New Roman" w:cs="Times New Roman"/>
          <w:b/>
          <w:bCs/>
          <w:kern w:val="1"/>
          <w:sz w:val="24"/>
          <w:szCs w:val="24"/>
          <w:lang w:val="et-EE" w:eastAsia="zh-CN" w:bidi="hi-IN"/>
        </w:rPr>
        <w:t>meediastrateegia</w:t>
      </w:r>
      <w:r w:rsidRPr="00505090">
        <w:rPr>
          <w:rFonts w:ascii="Times New Roman" w:eastAsia="SimSun" w:hAnsi="Times New Roman" w:cs="Times New Roman"/>
          <w:b/>
          <w:bCs/>
          <w:kern w:val="1"/>
          <w:sz w:val="24"/>
          <w:szCs w:val="24"/>
          <w:lang w:val="et-EE" w:eastAsia="zh-CN" w:bidi="hi-IN"/>
        </w:rPr>
        <w:t xml:space="preserve"> vastavus hanke eesmärkidele (90%)</w:t>
      </w:r>
      <w:r w:rsidRPr="00505090">
        <w:rPr>
          <w:rFonts w:ascii="Times New Roman" w:eastAsia="SimSun" w:hAnsi="Times New Roman" w:cs="Times New Roman"/>
          <w:kern w:val="1"/>
          <w:sz w:val="24"/>
          <w:szCs w:val="24"/>
          <w:lang w:val="et-EE" w:eastAsia="zh-CN" w:bidi="hi-IN"/>
        </w:rPr>
        <w:t>.</w:t>
      </w:r>
    </w:p>
    <w:p w14:paraId="7B91AD44" w14:textId="77777777" w:rsidR="001C1885" w:rsidRPr="008461B1" w:rsidRDefault="001C1885" w:rsidP="001C1885">
      <w:pPr>
        <w:pStyle w:val="Loendilik"/>
        <w:widowControl w:val="0"/>
        <w:numPr>
          <w:ilvl w:val="2"/>
          <w:numId w:val="1"/>
        </w:numPr>
        <w:suppressAutoHyphens/>
        <w:spacing w:after="160" w:line="240" w:lineRule="auto"/>
        <w:jc w:val="both"/>
        <w:rPr>
          <w:rFonts w:ascii="Times New Roman" w:eastAsia="SimSun" w:hAnsi="Times New Roman" w:cs="Times New Roman"/>
          <w:b/>
          <w:bCs/>
          <w:kern w:val="1"/>
          <w:sz w:val="24"/>
          <w:szCs w:val="24"/>
          <w:lang w:val="et-EE" w:eastAsia="zh-CN" w:bidi="hi-IN"/>
        </w:rPr>
      </w:pPr>
      <w:r w:rsidRPr="008461B1">
        <w:rPr>
          <w:rFonts w:ascii="Times New Roman" w:eastAsia="SimSun" w:hAnsi="Times New Roman" w:cs="Times New Roman"/>
          <w:b/>
          <w:bCs/>
          <w:kern w:val="1"/>
          <w:sz w:val="24"/>
          <w:szCs w:val="24"/>
          <w:lang w:val="et-EE" w:eastAsia="zh-CN" w:bidi="hi-IN"/>
        </w:rPr>
        <w:t>Pakkumuse kogumaksumus, osakaaluga 10%.</w:t>
      </w:r>
    </w:p>
    <w:p w14:paraId="1EB0F694"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Madalaima maksumusega pakkumusele omistatakse maksimaalsed 10 väärtuspunkti. Teistele pakkumustele omistatakse väärtuspunktid vastavalt valemile: </w:t>
      </w:r>
    </w:p>
    <w:p w14:paraId="05F03C66"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i/>
          <w:iCs/>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"10" - ("pakkumuse väärtus" - madalaim väärtus") / "suurim väärtus" * "10"</w:t>
      </w:r>
    </w:p>
    <w:p w14:paraId="6C49C41B"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i/>
          <w:iCs/>
          <w:kern w:val="1"/>
          <w:sz w:val="24"/>
          <w:szCs w:val="24"/>
          <w:lang w:val="et-EE" w:eastAsia="zh-CN" w:bidi="hi-IN"/>
        </w:rPr>
      </w:pPr>
    </w:p>
    <w:p w14:paraId="64F542B5" w14:textId="77777777" w:rsidR="001C1885" w:rsidRPr="008461B1" w:rsidRDefault="001C1885" w:rsidP="001C1885">
      <w:pPr>
        <w:pStyle w:val="Loendilik"/>
        <w:widowControl w:val="0"/>
        <w:numPr>
          <w:ilvl w:val="2"/>
          <w:numId w:val="1"/>
        </w:numPr>
        <w:suppressAutoHyphens/>
        <w:spacing w:line="240" w:lineRule="auto"/>
        <w:jc w:val="both"/>
        <w:rPr>
          <w:rFonts w:ascii="Times New Roman" w:eastAsia="SimSun" w:hAnsi="Times New Roman" w:cs="Times New Roman"/>
          <w:b/>
          <w:bCs/>
          <w:kern w:val="1"/>
          <w:sz w:val="24"/>
          <w:szCs w:val="24"/>
          <w:lang w:val="et-EE" w:eastAsia="zh-CN" w:bidi="hi-IN"/>
        </w:rPr>
      </w:pPr>
      <w:r>
        <w:rPr>
          <w:rFonts w:ascii="Times New Roman" w:eastAsia="SimSun" w:hAnsi="Times New Roman" w:cs="Times New Roman"/>
          <w:b/>
          <w:bCs/>
          <w:kern w:val="1"/>
          <w:sz w:val="24"/>
          <w:szCs w:val="24"/>
          <w:lang w:val="et-EE" w:eastAsia="zh-CN" w:bidi="hi-IN"/>
        </w:rPr>
        <w:t>Meediastrateegia</w:t>
      </w:r>
      <w:r w:rsidRPr="008461B1">
        <w:rPr>
          <w:rFonts w:ascii="Times New Roman" w:eastAsia="SimSun" w:hAnsi="Times New Roman" w:cs="Times New Roman"/>
          <w:b/>
          <w:bCs/>
          <w:kern w:val="1"/>
          <w:sz w:val="24"/>
          <w:szCs w:val="24"/>
          <w:lang w:val="et-EE" w:eastAsia="zh-CN" w:bidi="hi-IN"/>
        </w:rPr>
        <w:t xml:space="preserve"> vastavus hanke eesmärkidele, osakaaluga 90%.</w:t>
      </w:r>
    </w:p>
    <w:p w14:paraId="300D002F"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Pr>
          <w:rFonts w:ascii="Times New Roman" w:eastAsia="SimSun" w:hAnsi="Times New Roman" w:cs="Times New Roman"/>
          <w:kern w:val="1"/>
          <w:sz w:val="24"/>
          <w:szCs w:val="24"/>
          <w:lang w:val="et-EE" w:eastAsia="zh-CN" w:bidi="hi-IN"/>
        </w:rPr>
        <w:t>Pakkumusega esitatud meediastrateegiat, sh ajakava,</w:t>
      </w:r>
      <w:r w:rsidRPr="00505090">
        <w:rPr>
          <w:rFonts w:ascii="Times New Roman" w:eastAsia="SimSun" w:hAnsi="Times New Roman" w:cs="Times New Roman"/>
          <w:kern w:val="1"/>
          <w:sz w:val="24"/>
          <w:szCs w:val="24"/>
          <w:lang w:val="et-EE" w:eastAsia="zh-CN" w:bidi="hi-IN"/>
        </w:rPr>
        <w:t xml:space="preserve"> hindavad hankekomisjoni liikmed eraldi. Hindamiskomisjoni liikmete poolt omistatud väärtuspunktidest arvutatakse aritmeetiline keskmine.</w:t>
      </w:r>
    </w:p>
    <w:p w14:paraId="7DCCCA29"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p>
    <w:p w14:paraId="347484DA" w14:textId="77777777" w:rsidR="001C1885" w:rsidRPr="00505090" w:rsidRDefault="001C1885" w:rsidP="001C1885">
      <w:pPr>
        <w:widowControl w:val="0"/>
        <w:suppressAutoHyphens/>
        <w:spacing w:line="240" w:lineRule="auto"/>
        <w:ind w:left="709"/>
        <w:jc w:val="both"/>
        <w:rPr>
          <w:rFonts w:ascii="Times New Roman" w:eastAsia="SimSun" w:hAnsi="Times New Roman" w:cs="Times New Roman"/>
          <w:kern w:val="1"/>
          <w:sz w:val="24"/>
          <w:szCs w:val="24"/>
          <w:lang w:val="et-EE" w:eastAsia="zh-CN" w:bidi="hi-IN"/>
        </w:rPr>
      </w:pPr>
      <w:r>
        <w:rPr>
          <w:rFonts w:ascii="Times New Roman" w:eastAsia="SimSun" w:hAnsi="Times New Roman" w:cs="Times New Roman"/>
          <w:kern w:val="1"/>
          <w:sz w:val="24"/>
          <w:szCs w:val="24"/>
          <w:lang w:val="et-EE" w:eastAsia="zh-CN" w:bidi="hi-IN"/>
        </w:rPr>
        <w:t>Pakkumuses sisalduv peab</w:t>
      </w:r>
      <w:r w:rsidRPr="00505090">
        <w:rPr>
          <w:rFonts w:ascii="Times New Roman" w:eastAsia="SimSun" w:hAnsi="Times New Roman" w:cs="Times New Roman"/>
          <w:kern w:val="1"/>
          <w:sz w:val="24"/>
          <w:szCs w:val="24"/>
          <w:lang w:val="et-EE" w:eastAsia="zh-CN" w:bidi="hi-IN"/>
        </w:rPr>
        <w:t xml:space="preserve"> andma hankijale kindluse, et pakkuja mõistab lähteülesannet ja </w:t>
      </w:r>
      <w:r>
        <w:rPr>
          <w:rFonts w:ascii="Times New Roman" w:eastAsia="SimSun" w:hAnsi="Times New Roman" w:cs="Times New Roman"/>
          <w:kern w:val="1"/>
          <w:sz w:val="24"/>
          <w:szCs w:val="24"/>
          <w:lang w:val="et-EE" w:eastAsia="zh-CN" w:bidi="hi-IN"/>
        </w:rPr>
        <w:t>teavituskampaania levitamise</w:t>
      </w:r>
      <w:r w:rsidRPr="00505090">
        <w:rPr>
          <w:rFonts w:ascii="Times New Roman" w:eastAsia="SimSun" w:hAnsi="Times New Roman" w:cs="Times New Roman"/>
          <w:kern w:val="1"/>
          <w:sz w:val="24"/>
          <w:szCs w:val="24"/>
          <w:lang w:val="et-EE" w:eastAsia="zh-CN" w:bidi="hi-IN"/>
        </w:rPr>
        <w:t xml:space="preserve"> eesmärke ning suudab tagada teenuse osutamise vastavalt hankelepingule</w:t>
      </w:r>
      <w:r>
        <w:rPr>
          <w:rFonts w:ascii="Times New Roman" w:eastAsia="SimSun" w:hAnsi="Times New Roman" w:cs="Times New Roman"/>
          <w:kern w:val="1"/>
          <w:sz w:val="24"/>
          <w:szCs w:val="24"/>
          <w:lang w:val="et-EE" w:eastAsia="zh-CN" w:bidi="hi-IN"/>
        </w:rPr>
        <w:t xml:space="preserve"> (</w:t>
      </w:r>
      <w:r w:rsidRPr="00505090">
        <w:rPr>
          <w:rFonts w:ascii="Times New Roman" w:eastAsia="SimSun" w:hAnsi="Times New Roman" w:cs="Times New Roman"/>
          <w:kern w:val="1"/>
          <w:sz w:val="24"/>
          <w:szCs w:val="24"/>
          <w:lang w:val="et-EE" w:eastAsia="zh-CN" w:bidi="hi-IN"/>
        </w:rPr>
        <w:t>sh selle osaks olevale lähteülesandele</w:t>
      </w:r>
      <w:r>
        <w:rPr>
          <w:rFonts w:ascii="Times New Roman" w:eastAsia="SimSun" w:hAnsi="Times New Roman" w:cs="Times New Roman"/>
          <w:kern w:val="1"/>
          <w:sz w:val="24"/>
          <w:szCs w:val="24"/>
          <w:lang w:val="et-EE" w:eastAsia="zh-CN" w:bidi="hi-IN"/>
        </w:rPr>
        <w:t>)</w:t>
      </w:r>
      <w:r w:rsidRPr="00505090">
        <w:rPr>
          <w:rFonts w:ascii="Times New Roman" w:eastAsia="SimSun" w:hAnsi="Times New Roman" w:cs="Times New Roman"/>
          <w:kern w:val="1"/>
          <w:sz w:val="24"/>
          <w:szCs w:val="24"/>
          <w:lang w:val="et-EE" w:eastAsia="zh-CN" w:bidi="hi-IN"/>
        </w:rPr>
        <w:t>.</w:t>
      </w:r>
    </w:p>
    <w:p w14:paraId="75195FB5" w14:textId="77777777" w:rsidR="001C1885" w:rsidRPr="00505090" w:rsidRDefault="001C1885" w:rsidP="001C1885">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p>
    <w:p w14:paraId="69798BA7" w14:textId="77777777" w:rsidR="001C1885" w:rsidRPr="00505090" w:rsidRDefault="001C1885" w:rsidP="001C1885">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Hindamiskomisjon omistab </w:t>
      </w:r>
      <w:r>
        <w:rPr>
          <w:rFonts w:ascii="Times New Roman" w:eastAsia="SimSun" w:hAnsi="Times New Roman" w:cs="Times New Roman"/>
          <w:kern w:val="1"/>
          <w:sz w:val="24"/>
          <w:szCs w:val="24"/>
          <w:lang w:val="et-EE" w:eastAsia="zh-CN" w:bidi="hi-IN"/>
        </w:rPr>
        <w:t xml:space="preserve">meediastrateegia </w:t>
      </w:r>
      <w:r w:rsidRPr="00505090">
        <w:rPr>
          <w:rFonts w:ascii="Times New Roman" w:eastAsia="SimSun" w:hAnsi="Times New Roman" w:cs="Times New Roman"/>
          <w:kern w:val="1"/>
          <w:sz w:val="24"/>
          <w:szCs w:val="24"/>
          <w:lang w:val="et-EE" w:eastAsia="zh-CN" w:bidi="hi-IN"/>
        </w:rPr>
        <w:t>vastavusel</w:t>
      </w:r>
      <w:r>
        <w:rPr>
          <w:rFonts w:ascii="Times New Roman" w:eastAsia="SimSun" w:hAnsi="Times New Roman" w:cs="Times New Roman"/>
          <w:kern w:val="1"/>
          <w:sz w:val="24"/>
          <w:szCs w:val="24"/>
          <w:lang w:val="et-EE" w:eastAsia="zh-CN" w:bidi="hi-IN"/>
        </w:rPr>
        <w:t>e</w:t>
      </w:r>
      <w:r w:rsidRPr="00505090">
        <w:rPr>
          <w:rFonts w:ascii="Times New Roman" w:eastAsia="SimSun" w:hAnsi="Times New Roman" w:cs="Times New Roman"/>
          <w:kern w:val="1"/>
          <w:sz w:val="24"/>
          <w:szCs w:val="24"/>
          <w:lang w:val="et-EE" w:eastAsia="zh-CN" w:bidi="hi-IN"/>
        </w:rPr>
        <w:t xml:space="preserve"> hanke eesmärgile punkte alljärgnevalt: </w:t>
      </w:r>
    </w:p>
    <w:p w14:paraId="76EF6AE5" w14:textId="77777777" w:rsidR="001C1885" w:rsidRPr="00505090" w:rsidRDefault="001C1885" w:rsidP="001C1885">
      <w:pPr>
        <w:widowControl w:val="0"/>
        <w:suppressAutoHyphens/>
        <w:spacing w:line="240" w:lineRule="auto"/>
        <w:ind w:left="708"/>
        <w:jc w:val="both"/>
        <w:rPr>
          <w:rFonts w:ascii="Times New Roman" w:eastAsia="SimSun" w:hAnsi="Times New Roman" w:cs="Times New Roman"/>
          <w:kern w:val="1"/>
          <w:sz w:val="24"/>
          <w:szCs w:val="24"/>
          <w:lang w:val="et-EE" w:eastAsia="zh-CN" w:bidi="hi-IN"/>
        </w:rPr>
      </w:pPr>
    </w:p>
    <w:tbl>
      <w:tblPr>
        <w:tblStyle w:val="Kontuurtabel"/>
        <w:tblW w:w="0" w:type="auto"/>
        <w:tblInd w:w="708" w:type="dxa"/>
        <w:tblLook w:val="04A0" w:firstRow="1" w:lastRow="0" w:firstColumn="1" w:lastColumn="0" w:noHBand="0" w:noVBand="1"/>
      </w:tblPr>
      <w:tblGrid>
        <w:gridCol w:w="4191"/>
        <w:gridCol w:w="4163"/>
      </w:tblGrid>
      <w:tr w:rsidR="001C1885" w:rsidRPr="00505090" w14:paraId="70F307B3" w14:textId="77777777" w:rsidTr="00737248">
        <w:trPr>
          <w:trHeight w:val="275"/>
        </w:trPr>
        <w:tc>
          <w:tcPr>
            <w:tcW w:w="4675" w:type="dxa"/>
          </w:tcPr>
          <w:p w14:paraId="59E4BC3D"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b/>
                <w:bCs/>
                <w:lang w:val="et-EE"/>
              </w:rPr>
              <w:t>Väärtuspunktide arv</w:t>
            </w:r>
          </w:p>
        </w:tc>
        <w:tc>
          <w:tcPr>
            <w:tcW w:w="4675" w:type="dxa"/>
          </w:tcPr>
          <w:p w14:paraId="3716637A"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b/>
                <w:bCs/>
                <w:lang w:val="et-EE"/>
              </w:rPr>
              <w:t>Põhjendus punktide andmiseks</w:t>
            </w:r>
          </w:p>
        </w:tc>
      </w:tr>
      <w:tr w:rsidR="001C1885" w:rsidRPr="00505090" w14:paraId="1D6DBD16" w14:textId="77777777" w:rsidTr="00737248">
        <w:tc>
          <w:tcPr>
            <w:tcW w:w="4675" w:type="dxa"/>
          </w:tcPr>
          <w:p w14:paraId="367B49B3"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b/>
                <w:bCs/>
                <w:lang w:val="et-EE"/>
              </w:rPr>
              <w:t xml:space="preserve">90 punkti – suurepärane </w:t>
            </w:r>
          </w:p>
          <w:p w14:paraId="32C7329E" w14:textId="77777777" w:rsidR="001C1885" w:rsidRPr="00505090" w:rsidRDefault="001C1885" w:rsidP="00737248">
            <w:pPr>
              <w:spacing w:before="240" w:after="240"/>
              <w:rPr>
                <w:rFonts w:ascii="Times New Roman" w:hAnsi="Times New Roman" w:cs="Times New Roman"/>
                <w:b/>
                <w:bCs/>
                <w:lang w:val="et-EE"/>
              </w:rPr>
            </w:pPr>
          </w:p>
        </w:tc>
        <w:tc>
          <w:tcPr>
            <w:tcW w:w="4675" w:type="dxa"/>
          </w:tcPr>
          <w:p w14:paraId="1EEDA208"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lang w:val="et-EE"/>
              </w:rPr>
              <w:t>Meediaplaan ja kanalite valik on põhjendatud parimal võimalikul viisil, toetudes teavituskampaania “</w:t>
            </w:r>
            <w:r>
              <w:t xml:space="preserve"> </w:t>
            </w:r>
            <w:r w:rsidRPr="00501BB5">
              <w:rPr>
                <w:rFonts w:ascii="Times New Roman" w:hAnsi="Times New Roman" w:cs="Times New Roman"/>
                <w:lang w:val="et-EE"/>
              </w:rPr>
              <w:t>Märka tingimusi, väldi lõksu</w:t>
            </w:r>
            <w:r w:rsidRPr="00505090">
              <w:rPr>
                <w:rFonts w:ascii="Times New Roman" w:hAnsi="Times New Roman" w:cs="Times New Roman"/>
                <w:lang w:val="et-EE"/>
              </w:rPr>
              <w:t>!” sihtrühmale ja eesmärkidele. Meediakanalite valik aitab väga hästi kaasa</w:t>
            </w:r>
            <w:r>
              <w:t xml:space="preserve"> “</w:t>
            </w:r>
            <w:r w:rsidRPr="00501BB5">
              <w:rPr>
                <w:rFonts w:ascii="Times New Roman" w:hAnsi="Times New Roman" w:cs="Times New Roman"/>
                <w:lang w:val="et-EE"/>
              </w:rPr>
              <w:t>Märka tingimusi, väldi lõksu</w:t>
            </w:r>
            <w:r>
              <w:rPr>
                <w:rFonts w:ascii="Times New Roman" w:hAnsi="Times New Roman" w:cs="Times New Roman"/>
                <w:lang w:val="et-EE"/>
              </w:rPr>
              <w:t>!“</w:t>
            </w:r>
            <w:r w:rsidRPr="00501BB5">
              <w:rPr>
                <w:rFonts w:ascii="Times New Roman" w:hAnsi="Times New Roman" w:cs="Times New Roman"/>
                <w:lang w:val="et-EE"/>
              </w:rPr>
              <w:t xml:space="preserve"> </w:t>
            </w:r>
            <w:r w:rsidRPr="00505090">
              <w:rPr>
                <w:rFonts w:ascii="Times New Roman" w:hAnsi="Times New Roman" w:cs="Times New Roman"/>
                <w:lang w:val="et-EE"/>
              </w:rPr>
              <w:t xml:space="preserve">eesmärkide täitmisele. Kanalite valik aitab maksimaalselt jõuda õige sihtgrupini olemasoleva eelarve raames. Kampaania materjale on väga efektiivselt rakendatud valitud kanalite lõikes. Meediaplaani ajakava on väga realistlikult tegevustega sisustatud, hästi põhjendatud ning vastab väga hästi </w:t>
            </w:r>
            <w:r>
              <w:t>“</w:t>
            </w:r>
            <w:r w:rsidRPr="00501BB5">
              <w:rPr>
                <w:rFonts w:ascii="Times New Roman" w:hAnsi="Times New Roman" w:cs="Times New Roman"/>
                <w:lang w:val="et-EE"/>
              </w:rPr>
              <w:t>Märka tingimusi, väldi lõksu</w:t>
            </w:r>
            <w:r>
              <w:rPr>
                <w:rFonts w:ascii="Times New Roman" w:hAnsi="Times New Roman" w:cs="Times New Roman"/>
                <w:lang w:val="et-EE"/>
              </w:rPr>
              <w:t>!“</w:t>
            </w:r>
            <w:r w:rsidRPr="00501BB5">
              <w:rPr>
                <w:rFonts w:ascii="Times New Roman" w:hAnsi="Times New Roman" w:cs="Times New Roman"/>
                <w:lang w:val="et-EE"/>
              </w:rPr>
              <w:t xml:space="preserve"> </w:t>
            </w:r>
            <w:r w:rsidRPr="00505090">
              <w:rPr>
                <w:rFonts w:ascii="Times New Roman" w:hAnsi="Times New Roman" w:cs="Times New Roman"/>
                <w:lang w:val="et-EE"/>
              </w:rPr>
              <w:t xml:space="preserve">ootustele ja eesmärkidele. Pakkuja prognoos kampaania tulemuste kohta on väga realistlik ja välja pakutud tegevused toetavad väga hästi püstitatud eesmärkide saavutamist. Tegevuste mõju mõõtmiseks välja pakutud mõõdikud ja metoodika katavad kõiki tegevusi ja nende valik on väga hästi argumenteeritud. </w:t>
            </w:r>
          </w:p>
        </w:tc>
      </w:tr>
      <w:tr w:rsidR="001C1885" w:rsidRPr="00505090" w14:paraId="18F0C879" w14:textId="77777777" w:rsidTr="00737248">
        <w:tc>
          <w:tcPr>
            <w:tcW w:w="4675" w:type="dxa"/>
          </w:tcPr>
          <w:p w14:paraId="15FBC6F7" w14:textId="77777777" w:rsidR="001C1885" w:rsidRPr="00505090" w:rsidRDefault="001C1885" w:rsidP="00737248">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lastRenderedPageBreak/>
              <w:t xml:space="preserve">60 punkti – hea </w:t>
            </w:r>
          </w:p>
          <w:p w14:paraId="770CC0A0" w14:textId="77777777" w:rsidR="001C1885" w:rsidRPr="00505090" w:rsidRDefault="001C1885" w:rsidP="00737248">
            <w:pPr>
              <w:spacing w:before="240" w:after="240"/>
              <w:rPr>
                <w:rFonts w:ascii="Times New Roman" w:hAnsi="Times New Roman" w:cs="Times New Roman"/>
                <w:b/>
                <w:bCs/>
                <w:lang w:val="et-EE"/>
              </w:rPr>
            </w:pPr>
          </w:p>
        </w:tc>
        <w:tc>
          <w:tcPr>
            <w:tcW w:w="4675" w:type="dxa"/>
          </w:tcPr>
          <w:p w14:paraId="3F46C498"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lang w:val="et-EE"/>
              </w:rPr>
              <w:t xml:space="preserve">Meediaplaan ja kanalite valik on põhjendatud olulisel määral, toetudes </w:t>
            </w:r>
            <w:r>
              <w:t>“</w:t>
            </w:r>
            <w:r w:rsidRPr="00501BB5">
              <w:rPr>
                <w:rFonts w:ascii="Times New Roman" w:hAnsi="Times New Roman" w:cs="Times New Roman"/>
                <w:lang w:val="et-EE"/>
              </w:rPr>
              <w:t>Märka tingimusi, väldi lõksu</w:t>
            </w:r>
            <w:r>
              <w:rPr>
                <w:rFonts w:ascii="Times New Roman" w:hAnsi="Times New Roman" w:cs="Times New Roman"/>
                <w:lang w:val="et-EE"/>
              </w:rPr>
              <w:t>!“</w:t>
            </w:r>
            <w:r w:rsidRPr="00501BB5">
              <w:rPr>
                <w:rFonts w:ascii="Times New Roman" w:hAnsi="Times New Roman" w:cs="Times New Roman"/>
                <w:lang w:val="et-EE"/>
              </w:rPr>
              <w:t xml:space="preserve"> </w:t>
            </w:r>
            <w:r w:rsidRPr="00505090">
              <w:rPr>
                <w:rFonts w:ascii="Times New Roman" w:hAnsi="Times New Roman" w:cs="Times New Roman"/>
                <w:lang w:val="et-EE"/>
              </w:rPr>
              <w:t xml:space="preserve">sihtrühmale ja eesmärkidele. Meediakanalite valik aitab hästi kaasa </w:t>
            </w:r>
            <w:r>
              <w:t>“</w:t>
            </w:r>
            <w:r w:rsidRPr="00501BB5">
              <w:rPr>
                <w:rFonts w:ascii="Times New Roman" w:hAnsi="Times New Roman" w:cs="Times New Roman"/>
                <w:lang w:val="et-EE"/>
              </w:rPr>
              <w:t>Märka tingimusi, väldi lõksu</w:t>
            </w:r>
            <w:r>
              <w:rPr>
                <w:rFonts w:ascii="Times New Roman" w:hAnsi="Times New Roman" w:cs="Times New Roman"/>
                <w:lang w:val="et-EE"/>
              </w:rPr>
              <w:t>!“</w:t>
            </w:r>
            <w:r w:rsidRPr="00505090">
              <w:rPr>
                <w:rFonts w:ascii="Times New Roman" w:hAnsi="Times New Roman" w:cs="Times New Roman"/>
                <w:lang w:val="et-EE"/>
              </w:rPr>
              <w:t xml:space="preserve"> eesmärkide täitmisele. Kanalite valik aitab olulisel määral jõuda õige sihtgrupini olemasoleva eelarve raames. Kampaania materjalid on olulisel määral rakendatud valitud kanalite lõikes. Meediaplaani ajakava on tegevustega sisustatud piisavalt realistlikult, põhjendatud ning vastab olulisel määral </w:t>
            </w:r>
            <w:r w:rsidRPr="00501BB5">
              <w:rPr>
                <w:rFonts w:ascii="Times New Roman" w:hAnsi="Times New Roman" w:cs="Times New Roman"/>
                <w:lang w:val="et-EE"/>
              </w:rPr>
              <w:t xml:space="preserve">“Märka tingimusi, väldi lõksu!“ </w:t>
            </w:r>
            <w:r w:rsidRPr="00505090">
              <w:rPr>
                <w:rFonts w:ascii="Times New Roman" w:hAnsi="Times New Roman" w:cs="Times New Roman"/>
                <w:lang w:val="et-EE"/>
              </w:rPr>
              <w:t>ootustele ja eesmärkidele. Pakkuja prognoos kampaania tulemuste kohta on piisavalt realistlik ja välja pakutud tegevused toetavad olulisel määral püstitatud eesmärkide saavutamist. Tegevuste mõju mõõtmiseks välja pakutud mõõdikud ja metoodika katavad enamik tegevusi ja/või nende valik on olulisel määral argumenteeritud. Pakkumuses esineb siiski üksikuid puudujääke, mistõttu pole hankijal kindlust, et pakkuja tegevused aitavad maksimaalselt kaasa kampaania eesmärkide täitmisele.</w:t>
            </w:r>
          </w:p>
        </w:tc>
      </w:tr>
      <w:tr w:rsidR="001C1885" w:rsidRPr="00505090" w14:paraId="1A7DF2F5" w14:textId="77777777" w:rsidTr="00737248">
        <w:tc>
          <w:tcPr>
            <w:tcW w:w="4675" w:type="dxa"/>
          </w:tcPr>
          <w:p w14:paraId="684787D8" w14:textId="77777777" w:rsidR="001C1885" w:rsidRPr="00505090" w:rsidRDefault="001C1885" w:rsidP="00737248">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t xml:space="preserve">30 punkti – keskpärane </w:t>
            </w:r>
          </w:p>
          <w:p w14:paraId="1B336B06" w14:textId="77777777" w:rsidR="001C1885" w:rsidRPr="00505090" w:rsidRDefault="001C1885" w:rsidP="00737248">
            <w:pPr>
              <w:spacing w:before="240" w:after="240"/>
              <w:rPr>
                <w:rFonts w:ascii="Times New Roman" w:hAnsi="Times New Roman" w:cs="Times New Roman"/>
                <w:b/>
                <w:bCs/>
                <w:lang w:val="et-EE"/>
              </w:rPr>
            </w:pPr>
          </w:p>
        </w:tc>
        <w:tc>
          <w:tcPr>
            <w:tcW w:w="4675" w:type="dxa"/>
          </w:tcPr>
          <w:p w14:paraId="1E9D7AD5"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lang w:val="et-EE"/>
              </w:rPr>
              <w:t xml:space="preserve">Meediaplaan ja kanalite valik on põhjendatud toetudes </w:t>
            </w:r>
            <w:r w:rsidRPr="00E26F63">
              <w:rPr>
                <w:rFonts w:ascii="Times New Roman" w:hAnsi="Times New Roman" w:cs="Times New Roman"/>
                <w:lang w:val="et-EE"/>
              </w:rPr>
              <w:t xml:space="preserve">“Märka tingimusi, väldi lõksu!“ </w:t>
            </w:r>
            <w:r w:rsidRPr="00505090">
              <w:rPr>
                <w:rFonts w:ascii="Times New Roman" w:hAnsi="Times New Roman" w:cs="Times New Roman"/>
                <w:lang w:val="et-EE"/>
              </w:rPr>
              <w:t xml:space="preserve">sihtrühmale ja eesmärkidele vaid vähesel määral. Meediakanalite valik aitab vähesel määral kaasa </w:t>
            </w:r>
            <w:r w:rsidRPr="00E26F63">
              <w:rPr>
                <w:rFonts w:ascii="Times New Roman" w:hAnsi="Times New Roman" w:cs="Times New Roman"/>
                <w:lang w:val="et-EE"/>
              </w:rPr>
              <w:t xml:space="preserve">“Märka tingimusi, väldi lõksu!“ </w:t>
            </w:r>
            <w:r w:rsidRPr="00505090">
              <w:rPr>
                <w:rFonts w:ascii="Times New Roman" w:hAnsi="Times New Roman" w:cs="Times New Roman"/>
                <w:lang w:val="et-EE"/>
              </w:rPr>
              <w:t xml:space="preserve">eesmärkide täitmisele. Kanalite valik aitab vähesel määral jõuda õige sihtgrupini olemasoleva eelarve raames. Kampaania materjalid on vähesel määral rakendatud valitud kanalite lõikes. Meediaplaani ajakava on tegevustega sisustatud ja põhjendatud vaid vähesel määral ning vastab </w:t>
            </w:r>
            <w:r>
              <w:t>“</w:t>
            </w:r>
            <w:r w:rsidRPr="00501BB5">
              <w:rPr>
                <w:rFonts w:ascii="Times New Roman" w:hAnsi="Times New Roman" w:cs="Times New Roman"/>
                <w:lang w:val="et-EE"/>
              </w:rPr>
              <w:t>Märka tingimusi, väldi lõksu</w:t>
            </w:r>
            <w:r>
              <w:rPr>
                <w:rFonts w:ascii="Times New Roman" w:hAnsi="Times New Roman" w:cs="Times New Roman"/>
                <w:lang w:val="et-EE"/>
              </w:rPr>
              <w:t>!“</w:t>
            </w:r>
            <w:r w:rsidRPr="00501BB5">
              <w:rPr>
                <w:rFonts w:ascii="Times New Roman" w:hAnsi="Times New Roman" w:cs="Times New Roman"/>
                <w:lang w:val="et-EE"/>
              </w:rPr>
              <w:t xml:space="preserve"> </w:t>
            </w:r>
            <w:r w:rsidRPr="00505090">
              <w:rPr>
                <w:rFonts w:ascii="Times New Roman" w:hAnsi="Times New Roman" w:cs="Times New Roman"/>
                <w:lang w:val="et-EE"/>
              </w:rPr>
              <w:t xml:space="preserve">ootustele ja eesmärkidele lünklikult. Pakkuja prognoos kampaania tulemuste kohta ei ole realistlik ja/või välja pakutud tegevused toetavad vähesel määral püstitatud eesmärkide saavutamist. Tegevuste mõju mõõtmiseks välja pakutud </w:t>
            </w:r>
            <w:r w:rsidRPr="00505090">
              <w:rPr>
                <w:rFonts w:ascii="Times New Roman" w:hAnsi="Times New Roman" w:cs="Times New Roman"/>
                <w:lang w:val="et-EE"/>
              </w:rPr>
              <w:lastRenderedPageBreak/>
              <w:t>mõõdikud ja metoodika katavad lünklikult tegevusi ja/või nende valik on vähesel määral argumenteeritud.</w:t>
            </w:r>
          </w:p>
        </w:tc>
      </w:tr>
      <w:tr w:rsidR="001C1885" w:rsidRPr="00505090" w14:paraId="63A7CDA1" w14:textId="77777777" w:rsidTr="00737248">
        <w:tc>
          <w:tcPr>
            <w:tcW w:w="4675" w:type="dxa"/>
          </w:tcPr>
          <w:p w14:paraId="6CDE4F9B" w14:textId="77777777" w:rsidR="001C1885" w:rsidRPr="00505090" w:rsidRDefault="001C1885" w:rsidP="00737248">
            <w:pPr>
              <w:spacing w:before="240" w:after="240"/>
              <w:ind w:left="708"/>
              <w:rPr>
                <w:rFonts w:ascii="Times New Roman" w:hAnsi="Times New Roman" w:cs="Times New Roman"/>
                <w:b/>
                <w:bCs/>
                <w:lang w:val="et-EE"/>
              </w:rPr>
            </w:pPr>
            <w:r w:rsidRPr="00505090">
              <w:rPr>
                <w:rFonts w:ascii="Times New Roman" w:hAnsi="Times New Roman" w:cs="Times New Roman"/>
                <w:b/>
                <w:bCs/>
                <w:lang w:val="et-EE"/>
              </w:rPr>
              <w:lastRenderedPageBreak/>
              <w:t>10 punkti – kehv</w:t>
            </w:r>
          </w:p>
        </w:tc>
        <w:tc>
          <w:tcPr>
            <w:tcW w:w="4675" w:type="dxa"/>
          </w:tcPr>
          <w:p w14:paraId="27A0ECC3" w14:textId="77777777" w:rsidR="001C1885" w:rsidRPr="00505090" w:rsidRDefault="001C1885" w:rsidP="00737248">
            <w:pPr>
              <w:spacing w:before="240" w:after="240"/>
              <w:rPr>
                <w:rFonts w:ascii="Times New Roman" w:hAnsi="Times New Roman" w:cs="Times New Roman"/>
                <w:b/>
                <w:bCs/>
                <w:lang w:val="et-EE"/>
              </w:rPr>
            </w:pPr>
            <w:r w:rsidRPr="00505090">
              <w:rPr>
                <w:rFonts w:ascii="Times New Roman" w:hAnsi="Times New Roman" w:cs="Times New Roman"/>
                <w:lang w:val="et-EE"/>
              </w:rPr>
              <w:t xml:space="preserve">Meediaplaan ja kanalite valik ei ole põhjendatud ega aita kaasa või aitab minimaalsel määral kaasa </w:t>
            </w:r>
            <w:r w:rsidRPr="00E26F63">
              <w:rPr>
                <w:rFonts w:ascii="Times New Roman" w:hAnsi="Times New Roman" w:cs="Times New Roman"/>
                <w:lang w:val="et-EE"/>
              </w:rPr>
              <w:t xml:space="preserve">“Märka tingimusi, väldi lõksu!“ </w:t>
            </w:r>
            <w:r w:rsidRPr="00505090">
              <w:rPr>
                <w:rFonts w:ascii="Times New Roman" w:hAnsi="Times New Roman" w:cs="Times New Roman"/>
                <w:lang w:val="et-EE"/>
              </w:rPr>
              <w:t xml:space="preserve">eesmärkide täitmisele. Kanalite valik aitab väga vähesel määral jõuda õige sihtgrupini olemasoleva eelarve raames. Kampaania materjalid on minimaalsel määral rakendatud valitud kanalite lõikes. Meediaplaani ajakava on tegevustega puudulikult sisustatud ja põhjendamata ning ei vasta </w:t>
            </w:r>
            <w:r w:rsidRPr="00E26F63">
              <w:rPr>
                <w:rFonts w:ascii="Times New Roman" w:hAnsi="Times New Roman" w:cs="Times New Roman"/>
                <w:lang w:val="et-EE"/>
              </w:rPr>
              <w:t xml:space="preserve">“Märka tingimusi, väldi lõksu!“ </w:t>
            </w:r>
            <w:r w:rsidRPr="00505090">
              <w:rPr>
                <w:rFonts w:ascii="Times New Roman" w:hAnsi="Times New Roman" w:cs="Times New Roman"/>
                <w:lang w:val="et-EE"/>
              </w:rPr>
              <w:t>ootustele ja eesmärkidele. Pakkuja prognoos kampaania tulemuste kohta ei ole realistlik ja/või välja pakutud tegevused ei toeta püstitatud eesmärkide saavutamist. Mõõdikud ja metoodika on esitamata või katavad lünklikult tegevusi ja/või nende valik ei ole argumenteeritud.</w:t>
            </w:r>
          </w:p>
        </w:tc>
      </w:tr>
    </w:tbl>
    <w:p w14:paraId="37887CB2" w14:textId="77777777" w:rsidR="001C1885" w:rsidRPr="00505090" w:rsidRDefault="001C1885" w:rsidP="001C1885">
      <w:pPr>
        <w:widowControl w:val="0"/>
        <w:suppressAutoHyphens/>
        <w:spacing w:line="240" w:lineRule="auto"/>
        <w:jc w:val="both"/>
        <w:rPr>
          <w:rFonts w:ascii="Times New Roman" w:eastAsia="SimSun" w:hAnsi="Times New Roman" w:cs="Times New Roman"/>
          <w:kern w:val="1"/>
          <w:sz w:val="24"/>
          <w:szCs w:val="24"/>
          <w:lang w:val="et-EE" w:eastAsia="zh-CN" w:bidi="hi-IN"/>
        </w:rPr>
      </w:pPr>
    </w:p>
    <w:p w14:paraId="0A247F06" w14:textId="77777777" w:rsidR="001C1885" w:rsidRPr="008461B1" w:rsidRDefault="001C1885" w:rsidP="001C1885">
      <w:pPr>
        <w:pStyle w:val="Loendilik"/>
        <w:widowControl w:val="0"/>
        <w:numPr>
          <w:ilvl w:val="1"/>
          <w:numId w:val="1"/>
        </w:numPr>
        <w:suppressAutoHyphens/>
        <w:spacing w:after="160" w:line="240" w:lineRule="auto"/>
        <w:jc w:val="both"/>
        <w:rPr>
          <w:rFonts w:ascii="Times New Roman" w:eastAsia="SimSun" w:hAnsi="Times New Roman" w:cs="Times New Roman"/>
          <w:b/>
          <w:bCs/>
          <w:kern w:val="1"/>
          <w:sz w:val="24"/>
          <w:szCs w:val="24"/>
          <w:lang w:val="et-EE" w:eastAsia="zh-CN" w:bidi="hi-IN"/>
        </w:rPr>
      </w:pPr>
      <w:r w:rsidRPr="008461B1">
        <w:rPr>
          <w:rFonts w:ascii="Times New Roman" w:eastAsia="SimSun" w:hAnsi="Times New Roman" w:cs="Times New Roman"/>
          <w:b/>
          <w:bCs/>
          <w:kern w:val="1"/>
          <w:sz w:val="24"/>
          <w:szCs w:val="24"/>
          <w:lang w:val="et-EE" w:eastAsia="zh-CN" w:bidi="hi-IN"/>
        </w:rPr>
        <w:t>Pakkumuse edukaks tunnistamine</w:t>
      </w:r>
    </w:p>
    <w:p w14:paraId="3529D229" w14:textId="77777777" w:rsidR="001C1885" w:rsidRPr="00505090" w:rsidRDefault="001C1885" w:rsidP="001C1885">
      <w:pPr>
        <w:spacing w:before="240" w:after="240"/>
        <w:jc w:val="both"/>
        <w:rPr>
          <w:rFonts w:ascii="Times New Roman" w:eastAsia="SimSun" w:hAnsi="Times New Roman" w:cs="Times New Roman"/>
          <w:kern w:val="1"/>
          <w:sz w:val="24"/>
          <w:szCs w:val="24"/>
          <w:lang w:val="et-EE" w:eastAsia="zh-CN" w:bidi="hi-IN"/>
        </w:rPr>
      </w:pPr>
      <w:r w:rsidRPr="00505090">
        <w:rPr>
          <w:rFonts w:ascii="Times New Roman" w:eastAsia="SimSun" w:hAnsi="Times New Roman" w:cs="Times New Roman"/>
          <w:kern w:val="1"/>
          <w:sz w:val="24"/>
          <w:szCs w:val="24"/>
          <w:lang w:val="et-EE" w:eastAsia="zh-CN" w:bidi="hi-IN"/>
        </w:rPr>
        <w:t xml:space="preserve">Punktides 7.3.1-7.3.2 saavutatud punktisummad summeeritakse ja hankija tunnistab edukaks eeltoodud kriteeriumide alusel enim väärtuspunkte kokku kogunud pakkumuse. Hindamistäpsus on kaks kohta pärast koma. </w:t>
      </w:r>
    </w:p>
    <w:p w14:paraId="20704597" w14:textId="77777777" w:rsidR="001C1885" w:rsidRPr="00505090" w:rsidRDefault="001C1885" w:rsidP="001C1885">
      <w:pPr>
        <w:spacing w:before="240" w:after="240"/>
        <w:jc w:val="both"/>
        <w:rPr>
          <w:rFonts w:ascii="Times New Roman" w:eastAsia="Times New Roman" w:hAnsi="Times New Roman" w:cs="Times New Roman"/>
          <w:color w:val="0D0D0D"/>
          <w:sz w:val="24"/>
          <w:szCs w:val="24"/>
          <w:shd w:val="clear" w:color="auto" w:fill="FFFFFF"/>
          <w:lang w:val="et-EE"/>
        </w:rPr>
      </w:pPr>
      <w:r w:rsidRPr="00505090">
        <w:rPr>
          <w:rFonts w:ascii="Times New Roman" w:eastAsia="SimSun" w:hAnsi="Times New Roman" w:cs="Times New Roman"/>
          <w:kern w:val="1"/>
          <w:sz w:val="24"/>
          <w:szCs w:val="24"/>
          <w:lang w:val="et-EE" w:eastAsia="zh-CN" w:bidi="hi-IN"/>
        </w:rPr>
        <w:t>Juhul, kui kaks või enam pakkumust on võrdsete punktisummadega, selgitatakse edukas pakkumus välja liisuheitmise teel. Liisuheitmise korra määrab hankija. Võrdväärse pakkumuse esitanud pakkujatel on õigus viibida liisuheitmise juures. Liisuheitmise korrast, ajast ja kohast teavitab hankija pakkujaid e-maili teel pakkuja poolt esitatud kontaktandmetel.</w:t>
      </w:r>
    </w:p>
    <w:p w14:paraId="0E2A6B67" w14:textId="77777777" w:rsidR="001C1885" w:rsidRPr="00505090" w:rsidRDefault="001C1885" w:rsidP="001C1885">
      <w:pPr>
        <w:jc w:val="both"/>
        <w:rPr>
          <w:rFonts w:ascii="Times New Roman" w:hAnsi="Times New Roman" w:cs="Times New Roman"/>
          <w:sz w:val="24"/>
          <w:szCs w:val="24"/>
          <w:lang w:val="et-EE"/>
        </w:rPr>
      </w:pPr>
    </w:p>
    <w:p w14:paraId="0C671514" w14:textId="77777777" w:rsidR="001C1885" w:rsidRPr="00505090"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Pakkumuse esitamisega kinnitab pakkuja, et ta:</w:t>
      </w:r>
    </w:p>
    <w:p w14:paraId="69A05EC1" w14:textId="77777777" w:rsidR="001C1885" w:rsidRPr="00505090"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 xml:space="preserve"> </w:t>
      </w:r>
      <w:r w:rsidRPr="00505090">
        <w:rPr>
          <w:rFonts w:ascii="Times New Roman" w:hAnsi="Times New Roman" w:cs="Times New Roman"/>
          <w:sz w:val="24"/>
          <w:szCs w:val="24"/>
          <w:lang w:val="et-EE"/>
        </w:rPr>
        <w:sym w:font="Symbol" w:char="F0B7"/>
      </w:r>
      <w:r w:rsidRPr="00505090">
        <w:rPr>
          <w:rFonts w:ascii="Times New Roman" w:hAnsi="Times New Roman" w:cs="Times New Roman"/>
          <w:sz w:val="24"/>
          <w:szCs w:val="24"/>
          <w:lang w:val="et-EE"/>
        </w:rPr>
        <w:t xml:space="preserve"> nõustub kõikide pakkumuse kutses esitatud tingimustega, sh hankelepingu projektis sätestatud lepingu tingimustega; </w:t>
      </w:r>
    </w:p>
    <w:p w14:paraId="485FFEAF" w14:textId="77777777" w:rsidR="001C1885" w:rsidRPr="00505090"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sym w:font="Symbol" w:char="F0B7"/>
      </w:r>
      <w:r w:rsidRPr="00505090">
        <w:rPr>
          <w:rFonts w:ascii="Times New Roman" w:hAnsi="Times New Roman" w:cs="Times New Roman"/>
          <w:sz w:val="24"/>
          <w:szCs w:val="24"/>
          <w:lang w:val="et-EE"/>
        </w:rPr>
        <w:t xml:space="preserve"> pakkumus on jõus vähemalt 90 päeva pakkumuste esitamise tähtpäevast arvates.</w:t>
      </w:r>
    </w:p>
    <w:p w14:paraId="25BA60FC" w14:textId="77777777" w:rsidR="001C1885" w:rsidRPr="00505090" w:rsidRDefault="001C1885" w:rsidP="001C1885">
      <w:pPr>
        <w:jc w:val="both"/>
        <w:rPr>
          <w:rFonts w:ascii="Times New Roman" w:hAnsi="Times New Roman" w:cs="Times New Roman"/>
          <w:sz w:val="24"/>
          <w:szCs w:val="24"/>
          <w:lang w:val="et-EE"/>
        </w:rPr>
      </w:pPr>
    </w:p>
    <w:p w14:paraId="7A275C1D" w14:textId="77777777" w:rsidR="001C1885" w:rsidRPr="00505090"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 xml:space="preserve">Hankija kontaktisik, kes jagab selgitusi hankega seotud küsimustes, on </w:t>
      </w:r>
      <w:r>
        <w:rPr>
          <w:rFonts w:ascii="Times New Roman" w:hAnsi="Times New Roman" w:cs="Times New Roman"/>
          <w:sz w:val="24"/>
          <w:szCs w:val="24"/>
          <w:lang w:val="et-EE"/>
        </w:rPr>
        <w:t>Britt-Heleen Kandimaa</w:t>
      </w:r>
      <w:r w:rsidRPr="00505090">
        <w:rPr>
          <w:rFonts w:ascii="Times New Roman" w:hAnsi="Times New Roman" w:cs="Times New Roman"/>
          <w:sz w:val="24"/>
          <w:szCs w:val="24"/>
          <w:lang w:val="et-EE"/>
        </w:rPr>
        <w:t xml:space="preserve"> (</w:t>
      </w:r>
      <w:r w:rsidRPr="00E26F63">
        <w:rPr>
          <w:rFonts w:ascii="Times New Roman" w:hAnsi="Times New Roman" w:cs="Times New Roman"/>
          <w:sz w:val="24"/>
          <w:szCs w:val="24"/>
          <w:lang w:val="et-EE"/>
        </w:rPr>
        <w:t>Britt-Heleen.Kandimaa@ttja.ee</w:t>
      </w:r>
      <w:r w:rsidRPr="00505090">
        <w:rPr>
          <w:rFonts w:ascii="Times New Roman" w:hAnsi="Times New Roman" w:cs="Times New Roman"/>
          <w:sz w:val="24"/>
          <w:szCs w:val="24"/>
          <w:lang w:val="et-EE"/>
        </w:rPr>
        <w:t>). Hankijal ei ole kohustust vastata hankega seotud küsimustele, mis on esitatud hiljem kui 2 tööpäeva enne pakkumuste esitamise tähtaja saabumist.</w:t>
      </w:r>
    </w:p>
    <w:p w14:paraId="5305CA0E" w14:textId="77777777" w:rsidR="001C1885" w:rsidRPr="00505090" w:rsidRDefault="001C1885" w:rsidP="001C1885">
      <w:pPr>
        <w:jc w:val="both"/>
        <w:rPr>
          <w:rFonts w:ascii="Times New Roman" w:hAnsi="Times New Roman" w:cs="Times New Roman"/>
          <w:sz w:val="24"/>
          <w:szCs w:val="24"/>
          <w:lang w:val="et-EE"/>
        </w:rPr>
      </w:pPr>
    </w:p>
    <w:p w14:paraId="20256F4D" w14:textId="77777777" w:rsidR="001C1885" w:rsidRPr="00505090" w:rsidRDefault="001C1885" w:rsidP="001C1885">
      <w:pPr>
        <w:jc w:val="both"/>
        <w:rPr>
          <w:rFonts w:ascii="Times New Roman" w:hAnsi="Times New Roman" w:cs="Times New Roman"/>
          <w:b/>
          <w:bCs/>
          <w:sz w:val="24"/>
          <w:szCs w:val="24"/>
          <w:lang w:val="et-EE"/>
        </w:rPr>
      </w:pPr>
      <w:r w:rsidRPr="00505090">
        <w:rPr>
          <w:rFonts w:ascii="Times New Roman" w:hAnsi="Times New Roman" w:cs="Times New Roman"/>
          <w:b/>
          <w:bCs/>
          <w:sz w:val="24"/>
          <w:szCs w:val="24"/>
          <w:lang w:val="et-EE"/>
        </w:rPr>
        <w:t xml:space="preserve">TTJA jätab endale õiguse lükata tagasi kõik esitatud pakkumused sõltumata põhjus(t)est. </w:t>
      </w:r>
      <w:r w:rsidRPr="00505090">
        <w:rPr>
          <w:rFonts w:ascii="Times New Roman" w:hAnsi="Times New Roman" w:cs="Times New Roman"/>
          <w:b/>
          <w:bCs/>
          <w:sz w:val="24"/>
          <w:szCs w:val="24"/>
          <w:lang w:val="et-EE"/>
        </w:rPr>
        <w:cr/>
      </w:r>
    </w:p>
    <w:p w14:paraId="572BAC3F" w14:textId="77777777" w:rsidR="001C1885" w:rsidRPr="00505090"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Vaidlustuse esitamisele riigihankes, mille eeldatav maksumus on väiksem kui RHS § 14 lõikes 1 sätestatud lihthanke piirmäär, kohaldatakse lihthankemenetluses vaidlustuse esitamisele sätestatud tähtaegu (RHS § 189 lg 41).</w:t>
      </w:r>
    </w:p>
    <w:p w14:paraId="417BCD78" w14:textId="77777777" w:rsidR="001C1885" w:rsidRPr="00505090" w:rsidRDefault="001C1885" w:rsidP="001C1885">
      <w:pPr>
        <w:jc w:val="both"/>
        <w:rPr>
          <w:rFonts w:ascii="Times New Roman" w:hAnsi="Times New Roman" w:cs="Times New Roman"/>
          <w:sz w:val="24"/>
          <w:szCs w:val="24"/>
          <w:lang w:val="et-EE"/>
        </w:rPr>
      </w:pPr>
    </w:p>
    <w:p w14:paraId="4586539A" w14:textId="77777777" w:rsidR="001C1885" w:rsidRPr="00C02CCC" w:rsidRDefault="001C1885" w:rsidP="001C1885">
      <w:pPr>
        <w:jc w:val="both"/>
        <w:rPr>
          <w:rFonts w:ascii="Times New Roman" w:hAnsi="Times New Roman" w:cs="Times New Roman"/>
          <w:sz w:val="24"/>
          <w:szCs w:val="24"/>
          <w:lang w:val="et-EE"/>
        </w:rPr>
      </w:pPr>
      <w:r w:rsidRPr="00505090">
        <w:rPr>
          <w:rFonts w:ascii="Times New Roman" w:hAnsi="Times New Roman" w:cs="Times New Roman"/>
          <w:sz w:val="24"/>
          <w:szCs w:val="24"/>
          <w:lang w:val="et-EE"/>
        </w:rPr>
        <w:t>Lisa 1 – Hankelepingu projekt</w:t>
      </w:r>
    </w:p>
    <w:p w14:paraId="653F310A" w14:textId="77777777" w:rsidR="00651B28" w:rsidRDefault="00651B28"/>
    <w:sectPr w:rsidR="00651B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D726D"/>
    <w:multiLevelType w:val="hybridMultilevel"/>
    <w:tmpl w:val="07602834"/>
    <w:lvl w:ilvl="0" w:tplc="04250001">
      <w:start w:val="1"/>
      <w:numFmt w:val="bullet"/>
      <w:lvlText w:val=""/>
      <w:lvlJc w:val="left"/>
      <w:pPr>
        <w:ind w:left="1488" w:hanging="360"/>
      </w:pPr>
      <w:rPr>
        <w:rFonts w:ascii="Symbol" w:hAnsi="Symbol" w:hint="default"/>
      </w:rPr>
    </w:lvl>
    <w:lvl w:ilvl="1" w:tplc="04250003">
      <w:start w:val="1"/>
      <w:numFmt w:val="bullet"/>
      <w:lvlText w:val="o"/>
      <w:lvlJc w:val="left"/>
      <w:pPr>
        <w:ind w:left="2208" w:hanging="360"/>
      </w:pPr>
      <w:rPr>
        <w:rFonts w:ascii="Courier New" w:hAnsi="Courier New" w:cs="Courier New" w:hint="default"/>
      </w:rPr>
    </w:lvl>
    <w:lvl w:ilvl="2" w:tplc="04250005" w:tentative="1">
      <w:start w:val="1"/>
      <w:numFmt w:val="bullet"/>
      <w:lvlText w:val=""/>
      <w:lvlJc w:val="left"/>
      <w:pPr>
        <w:ind w:left="2928" w:hanging="360"/>
      </w:pPr>
      <w:rPr>
        <w:rFonts w:ascii="Wingdings" w:hAnsi="Wingdings" w:hint="default"/>
      </w:rPr>
    </w:lvl>
    <w:lvl w:ilvl="3" w:tplc="04250001" w:tentative="1">
      <w:start w:val="1"/>
      <w:numFmt w:val="bullet"/>
      <w:lvlText w:val=""/>
      <w:lvlJc w:val="left"/>
      <w:pPr>
        <w:ind w:left="3648" w:hanging="360"/>
      </w:pPr>
      <w:rPr>
        <w:rFonts w:ascii="Symbol" w:hAnsi="Symbol" w:hint="default"/>
      </w:rPr>
    </w:lvl>
    <w:lvl w:ilvl="4" w:tplc="04250003" w:tentative="1">
      <w:start w:val="1"/>
      <w:numFmt w:val="bullet"/>
      <w:lvlText w:val="o"/>
      <w:lvlJc w:val="left"/>
      <w:pPr>
        <w:ind w:left="4368" w:hanging="360"/>
      </w:pPr>
      <w:rPr>
        <w:rFonts w:ascii="Courier New" w:hAnsi="Courier New" w:cs="Courier New" w:hint="default"/>
      </w:rPr>
    </w:lvl>
    <w:lvl w:ilvl="5" w:tplc="04250005" w:tentative="1">
      <w:start w:val="1"/>
      <w:numFmt w:val="bullet"/>
      <w:lvlText w:val=""/>
      <w:lvlJc w:val="left"/>
      <w:pPr>
        <w:ind w:left="5088" w:hanging="360"/>
      </w:pPr>
      <w:rPr>
        <w:rFonts w:ascii="Wingdings" w:hAnsi="Wingdings" w:hint="default"/>
      </w:rPr>
    </w:lvl>
    <w:lvl w:ilvl="6" w:tplc="04250001" w:tentative="1">
      <w:start w:val="1"/>
      <w:numFmt w:val="bullet"/>
      <w:lvlText w:val=""/>
      <w:lvlJc w:val="left"/>
      <w:pPr>
        <w:ind w:left="5808" w:hanging="360"/>
      </w:pPr>
      <w:rPr>
        <w:rFonts w:ascii="Symbol" w:hAnsi="Symbol" w:hint="default"/>
      </w:rPr>
    </w:lvl>
    <w:lvl w:ilvl="7" w:tplc="04250003" w:tentative="1">
      <w:start w:val="1"/>
      <w:numFmt w:val="bullet"/>
      <w:lvlText w:val="o"/>
      <w:lvlJc w:val="left"/>
      <w:pPr>
        <w:ind w:left="6528" w:hanging="360"/>
      </w:pPr>
      <w:rPr>
        <w:rFonts w:ascii="Courier New" w:hAnsi="Courier New" w:cs="Courier New" w:hint="default"/>
      </w:rPr>
    </w:lvl>
    <w:lvl w:ilvl="8" w:tplc="04250005" w:tentative="1">
      <w:start w:val="1"/>
      <w:numFmt w:val="bullet"/>
      <w:lvlText w:val=""/>
      <w:lvlJc w:val="left"/>
      <w:pPr>
        <w:ind w:left="7248" w:hanging="360"/>
      </w:pPr>
      <w:rPr>
        <w:rFonts w:ascii="Wingdings" w:hAnsi="Wingdings" w:hint="default"/>
      </w:rPr>
    </w:lvl>
  </w:abstractNum>
  <w:abstractNum w:abstractNumId="1" w15:restartNumberingAfterBreak="0">
    <w:nsid w:val="52F4326A"/>
    <w:multiLevelType w:val="multilevel"/>
    <w:tmpl w:val="DAEC3CA0"/>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10397948">
    <w:abstractNumId w:val="1"/>
  </w:num>
  <w:num w:numId="2" w16cid:durableId="1893694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885"/>
    <w:rsid w:val="000059EA"/>
    <w:rsid w:val="001C1885"/>
    <w:rsid w:val="003810D9"/>
    <w:rsid w:val="00494078"/>
    <w:rsid w:val="0050228C"/>
    <w:rsid w:val="00651B28"/>
    <w:rsid w:val="00A4720D"/>
    <w:rsid w:val="00B86662"/>
    <w:rsid w:val="00CE5A63"/>
    <w:rsid w:val="00F660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AA5E8"/>
  <w15:chartTrackingRefBased/>
  <w15:docId w15:val="{27E2F755-F112-4DAE-B9EA-DECE6FBF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C1885"/>
    <w:pPr>
      <w:spacing w:after="0" w:line="276" w:lineRule="auto"/>
    </w:pPr>
    <w:rPr>
      <w:rFonts w:ascii="Arial" w:eastAsia="Arial" w:hAnsi="Arial" w:cs="Arial"/>
      <w:kern w:val="0"/>
      <w:lang w:val="en" w:eastAsia="et-EE"/>
      <w14:ligatures w14:val="none"/>
    </w:rPr>
  </w:style>
  <w:style w:type="paragraph" w:styleId="Pealkiri1">
    <w:name w:val="heading 1"/>
    <w:basedOn w:val="Normaallaad"/>
    <w:next w:val="Normaallaad"/>
    <w:link w:val="Pealkiri1Mrk"/>
    <w:uiPriority w:val="9"/>
    <w:qFormat/>
    <w:rsid w:val="001C18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1C18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1C188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1C188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1C188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1C1885"/>
    <w:pPr>
      <w:keepNext/>
      <w:keepLines/>
      <w:spacing w:before="4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1C1885"/>
    <w:pPr>
      <w:keepNext/>
      <w:keepLines/>
      <w:spacing w:before="4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1C1885"/>
    <w:pPr>
      <w:keepNext/>
      <w:keepLines/>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1C1885"/>
    <w:pPr>
      <w:keepNext/>
      <w:keepLines/>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C188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1C188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1C188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1C188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1C188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1C188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C188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C188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C188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C18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1C188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C188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1C188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C1885"/>
    <w:pPr>
      <w:spacing w:before="160"/>
      <w:jc w:val="center"/>
    </w:pPr>
    <w:rPr>
      <w:i/>
      <w:iCs/>
      <w:color w:val="404040" w:themeColor="text1" w:themeTint="BF"/>
    </w:rPr>
  </w:style>
  <w:style w:type="character" w:customStyle="1" w:styleId="TsitaatMrk">
    <w:name w:val="Tsitaat Märk"/>
    <w:basedOn w:val="Liguvaikefont"/>
    <w:link w:val="Tsitaat"/>
    <w:uiPriority w:val="29"/>
    <w:rsid w:val="001C1885"/>
    <w:rPr>
      <w:i/>
      <w:iCs/>
      <w:color w:val="404040" w:themeColor="text1" w:themeTint="BF"/>
    </w:rPr>
  </w:style>
  <w:style w:type="paragraph" w:styleId="Loendilik">
    <w:name w:val="List Paragraph"/>
    <w:basedOn w:val="Normaallaad"/>
    <w:uiPriority w:val="34"/>
    <w:qFormat/>
    <w:rsid w:val="001C1885"/>
    <w:pPr>
      <w:ind w:left="720"/>
      <w:contextualSpacing/>
    </w:pPr>
  </w:style>
  <w:style w:type="character" w:styleId="Selgeltmrgatavrhutus">
    <w:name w:val="Intense Emphasis"/>
    <w:basedOn w:val="Liguvaikefont"/>
    <w:uiPriority w:val="21"/>
    <w:qFormat/>
    <w:rsid w:val="001C1885"/>
    <w:rPr>
      <w:i/>
      <w:iCs/>
      <w:color w:val="0F4761" w:themeColor="accent1" w:themeShade="BF"/>
    </w:rPr>
  </w:style>
  <w:style w:type="paragraph" w:styleId="Selgeltmrgatavtsitaat">
    <w:name w:val="Intense Quote"/>
    <w:basedOn w:val="Normaallaad"/>
    <w:next w:val="Normaallaad"/>
    <w:link w:val="SelgeltmrgatavtsitaatMrk"/>
    <w:uiPriority w:val="30"/>
    <w:qFormat/>
    <w:rsid w:val="001C18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1C1885"/>
    <w:rPr>
      <w:i/>
      <w:iCs/>
      <w:color w:val="0F4761" w:themeColor="accent1" w:themeShade="BF"/>
    </w:rPr>
  </w:style>
  <w:style w:type="character" w:styleId="Selgeltmrgatavviide">
    <w:name w:val="Intense Reference"/>
    <w:basedOn w:val="Liguvaikefont"/>
    <w:uiPriority w:val="32"/>
    <w:qFormat/>
    <w:rsid w:val="001C1885"/>
    <w:rPr>
      <w:b/>
      <w:bCs/>
      <w:smallCaps/>
      <w:color w:val="0F4761" w:themeColor="accent1" w:themeShade="BF"/>
      <w:spacing w:val="5"/>
    </w:rPr>
  </w:style>
  <w:style w:type="table" w:styleId="Kontuurtabel">
    <w:name w:val="Table Grid"/>
    <w:basedOn w:val="Normaaltabel"/>
    <w:rsid w:val="001C1885"/>
    <w:pPr>
      <w:spacing w:after="0" w:line="240" w:lineRule="auto"/>
    </w:pPr>
    <w:rPr>
      <w:rFonts w:ascii="Arial" w:eastAsia="Arial" w:hAnsi="Arial" w:cs="Arial"/>
      <w:kern w:val="0"/>
      <w:lang w:val="en"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1615</Words>
  <Characters>9370</Characters>
  <Application>Microsoft Office Word</Application>
  <DocSecurity>0</DocSecurity>
  <Lines>78</Lines>
  <Paragraphs>21</Paragraphs>
  <ScaleCrop>false</ScaleCrop>
  <Company>KeMIT</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Britt-Heleen Kandimaa</dc:creator>
  <cp:keywords/>
  <dc:description/>
  <cp:lastModifiedBy>Britt-Heleen Kandimaa</cp:lastModifiedBy>
  <cp:revision>6</cp:revision>
  <dcterms:created xsi:type="dcterms:W3CDTF">2025-04-16T13:16:00Z</dcterms:created>
  <dcterms:modified xsi:type="dcterms:W3CDTF">2025-04-16T14:09:00Z</dcterms:modified>
</cp:coreProperties>
</file>